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bCs/>
          <w:sz w:val="24"/>
          <w:szCs w:val="24"/>
          <w:lang w:val="en-US" w:eastAsia="zh-CN"/>
        </w:rPr>
      </w:pPr>
      <w:bookmarkStart w:id="0" w:name="_GoBack"/>
      <w:r>
        <w:rPr>
          <w:rFonts w:hint="eastAsia" w:ascii="宋体" w:hAnsi="宋体" w:eastAsia="宋体" w:cs="宋体"/>
          <w:b/>
          <w:bCs/>
          <w:sz w:val="24"/>
          <w:szCs w:val="24"/>
          <w:lang w:val="en-US" w:eastAsia="zh-CN"/>
        </w:rPr>
        <w:t>2019年中国科学技术大学</w:t>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"https://yz.ustc.edu.cn/sszs_2019/index_10.shtml"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软件</w:t>
      </w:r>
      <w:r>
        <w:rPr>
          <w:rFonts w:hint="eastAsia" w:ascii="宋体" w:hAnsi="宋体" w:eastAsia="宋体" w:cs="宋体"/>
          <w:b/>
          <w:bCs/>
          <w:sz w:val="24"/>
          <w:szCs w:val="24"/>
        </w:rPr>
        <w:t>学院</w:t>
      </w:r>
      <w:r>
        <w:rPr>
          <w:rFonts w:hint="eastAsia" w:ascii="宋体" w:hAnsi="宋体" w:eastAsia="宋体" w:cs="宋体"/>
          <w:b/>
          <w:bCs/>
          <w:sz w:val="24"/>
          <w:szCs w:val="24"/>
        </w:rPr>
        <w:fldChar w:fldCharType="end"/>
      </w:r>
      <w:r>
        <w:rPr>
          <w:rFonts w:hint="eastAsia" w:ascii="宋体" w:hAnsi="宋体" w:eastAsia="宋体" w:cs="宋体"/>
          <w:b/>
          <w:bCs/>
          <w:sz w:val="24"/>
          <w:szCs w:val="24"/>
          <w:lang w:val="en-US" w:eastAsia="zh-CN"/>
        </w:rPr>
        <w:t>硕士研究生招生简章与目录</w:t>
      </w:r>
    </w:p>
    <w:bookmarkEnd w:id="0"/>
    <w:p>
      <w:pPr>
        <w:rPr>
          <w:rFonts w:hint="eastAsia" w:ascii="宋体" w:hAnsi="宋体" w:eastAsia="宋体" w:cs="宋体"/>
          <w:b/>
          <w:i w:val="0"/>
          <w:caps w:val="0"/>
          <w:color w:val="666666"/>
          <w:spacing w:val="0"/>
          <w:sz w:val="18"/>
          <w:szCs w:val="18"/>
          <w:shd w:val="clear" w:fill="DEF1FB"/>
        </w:rPr>
      </w:pPr>
    </w:p>
    <w:p>
      <w:pPr>
        <w:rPr>
          <w:rFonts w:hint="eastAsia"/>
          <w:b/>
          <w:bCs/>
          <w:sz w:val="24"/>
          <w:szCs w:val="24"/>
        </w:rPr>
      </w:pPr>
      <w:r>
        <w:rPr>
          <w:rFonts w:hint="eastAsia"/>
          <w:b/>
          <w:bCs/>
          <w:sz w:val="24"/>
          <w:szCs w:val="24"/>
        </w:rPr>
        <w:t>软件工程</w:t>
      </w:r>
    </w:p>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一、报考说明</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1、接收推免生及统考生；</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2、软件工程、计算机及其相关专业。</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本专业重点研究以系统的、可控的、高效的方式开发和维护高质量软件所涉及的理论、方法和技术等问题。主要研究方向包括软件工程理论与模型、新型软件技术与方法、海量信息处理与知识工程、软件服务与应用和教育软件工程。</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主要培养具有运用软件本质特性解决具体问题能力的软件工程基础研究人才；以及具有综合应用计算机科学、数学、管理等科学原理，借鉴传统工程的原则与方法等进行软件系统设计与开发能力的高级软件工程技术、管理和服务人才。</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毕业生主要去向:（1）国内外大型IT企业、研发机构；（2）国内外高校、科研机构、或继续深造。</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8484" w:type="dxa"/>
        <w:tblCellSpacing w:w="7" w:type="dxa"/>
        <w:tblInd w:w="0" w:type="dxa"/>
        <w:shd w:val="clear" w:color="auto" w:fill="CCCCCC"/>
        <w:tblLayout w:type="fixed"/>
        <w:tblCellMar>
          <w:top w:w="0" w:type="dxa"/>
          <w:left w:w="0" w:type="dxa"/>
          <w:bottom w:w="0" w:type="dxa"/>
          <w:right w:w="0" w:type="dxa"/>
        </w:tblCellMar>
      </w:tblPr>
      <w:tblGrid>
        <w:gridCol w:w="4242"/>
        <w:gridCol w:w="4242"/>
      </w:tblGrid>
      <w:tr>
        <w:tblPrEx>
          <w:tblLayout w:type="fixed"/>
          <w:tblCellMar>
            <w:top w:w="0" w:type="dxa"/>
            <w:left w:w="0" w:type="dxa"/>
            <w:bottom w:w="0" w:type="dxa"/>
            <w:right w:w="0" w:type="dxa"/>
          </w:tblCellMar>
        </w:tblPrEx>
        <w:trPr>
          <w:tblCellSpacing w:w="7" w:type="dxa"/>
        </w:trPr>
        <w:tc>
          <w:tcPr>
            <w:tcW w:w="4221"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4"/>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4221"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shd w:val="clear" w:color="auto" w:fill="CCCCCC"/>
          <w:tblLayout w:type="fixed"/>
          <w:tblCellMar>
            <w:top w:w="0" w:type="dxa"/>
            <w:left w:w="0" w:type="dxa"/>
            <w:bottom w:w="0" w:type="dxa"/>
            <w:right w:w="0" w:type="dxa"/>
          </w:tblCellMar>
        </w:tblPrEx>
        <w:trPr>
          <w:tblCellSpacing w:w="7" w:type="dxa"/>
        </w:trPr>
        <w:tc>
          <w:tcPr>
            <w:tcW w:w="422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1、软件工程</w:t>
            </w:r>
          </w:p>
        </w:tc>
        <w:tc>
          <w:tcPr>
            <w:tcW w:w="422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301数学一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408计算机学科专业基础综合</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四、复试形式</w:t>
      </w:r>
      <w:r>
        <w:rPr>
          <w:rFonts w:hint="eastAsia" w:ascii="宋体" w:hAnsi="宋体" w:eastAsia="宋体" w:cs="宋体"/>
          <w:b w:val="0"/>
          <w:i w:val="0"/>
          <w:caps w:val="0"/>
          <w:color w:val="575757"/>
          <w:spacing w:val="0"/>
          <w:kern w:val="0"/>
          <w:sz w:val="18"/>
          <w:szCs w:val="18"/>
          <w:shd w:val="clear" w:fill="FFFFFF"/>
          <w:lang w:val="en-US" w:eastAsia="zh-CN" w:bidi="ar"/>
        </w:rPr>
        <w:t>：面试+上机。</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1、专业基础测评（上机）专业基础测评主要考察考生有关C++和数据结构的基础知识及基本运用能力。本部分成绩为“通过/不通过”，只有“通过”考生方可录取。</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2、英语综合面试（满分50分）：重点考核考生的英语听说能力。</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专业综合面试（满分100分）：主要考察考生对本学科（专业）理论知识和应用技能的掌握程度，包括考生对本专业基础知识的掌握和理解程度，综合应用所学知识解决实际问题的能力；考察考生在本专业以外的学习、科研、社会实践或实际工作等方面的经历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：满分100分，其中英语综合面试满分50分，专业综合面试满分100分，复试成绩=（英语综合面试成绩+专业综合面试成绩）÷1.5。</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：满分100分，初试成绩不计政治，复试成绩占比50%，即最终成绩=（初试成绩【不计政治】÷4+复试成绩）÷2。</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：按最终成绩由高到低排序，确定进入导师与考生“双向选择”人选。根据“双向选择”结果，提出拟录取名单报批。为保证招生质量，报批人数可小于招生计划。</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九、学费标准</w:t>
      </w:r>
      <w:r>
        <w:rPr>
          <w:rFonts w:hint="eastAsia" w:ascii="宋体" w:hAnsi="宋体" w:eastAsia="宋体" w:cs="宋体"/>
          <w:b w:val="0"/>
          <w:i w:val="0"/>
          <w:caps w:val="0"/>
          <w:color w:val="575757"/>
          <w:spacing w:val="0"/>
          <w:kern w:val="0"/>
          <w:sz w:val="18"/>
          <w:szCs w:val="18"/>
          <w:shd w:val="clear" w:fill="FFFFFF"/>
          <w:lang w:val="en-US" w:eastAsia="zh-CN" w:bidi="ar"/>
        </w:rPr>
        <w:t>：8000元/学年。</w:t>
      </w:r>
    </w:p>
    <w:p>
      <w:pPr>
        <w:rPr>
          <w:rFonts w:hint="eastAsia"/>
          <w:b/>
          <w:bCs/>
          <w:sz w:val="24"/>
          <w:szCs w:val="24"/>
        </w:rPr>
      </w:pPr>
    </w:p>
    <w:p>
      <w:pPr>
        <w:rPr>
          <w:rFonts w:hint="eastAsia"/>
          <w:b/>
          <w:bCs/>
          <w:sz w:val="24"/>
          <w:szCs w:val="24"/>
        </w:rPr>
      </w:pPr>
      <w:r>
        <w:rPr>
          <w:rFonts w:hint="eastAsia"/>
          <w:b/>
          <w:bCs/>
          <w:sz w:val="24"/>
          <w:szCs w:val="24"/>
        </w:rPr>
        <w:t>软件工程（专业学位）</w:t>
      </w:r>
    </w:p>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一、报考说明</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1、接收推免生及统考生，以统考生为主；</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2、软件工程、计算机及其相关专业。</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面向软件技术的各个应用领域，培养高层次的复合型软件工程专业人才。目前设置4个专业方向：软件系统设计、网络与信息安全、嵌入式系统设计、大数据与人工智能。其中软件系统设计方向以软件系统设计中的通用软件技术为主，兼顾不同应用领域的特点；网络与信息安全以培养网络运管、服务系统软件和信息安全工程的高层次技术应用型人才为主要目标，兼顾通用软件设计技术；嵌入式系统设计培养既具有嵌入式系统软件设计知识，又理解集成电路基本理论和集成电路设计方法，掌握集成电路设计工具，具备全面的系统设计、分析和创新能力的复合型人才为主要目标；大数据与人工智能方向培养具有发展潜力的人工智能领军人才，主要培养人工智能基础研究、应用研究、运行维护等方面的专业技术人才，尤其重视复合型人才培养，即培养贯通人工智能理论、方法、技术、产品与应用等的纵向复合型人才，以及掌握“人工智能+”、经济、社会、管理、标准、法律等的横向复合型人才。</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毕业生就业方向：国内外大型IT企业、研发机构、事业单位。</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8484" w:type="dxa"/>
        <w:tblCellSpacing w:w="7" w:type="dxa"/>
        <w:tblInd w:w="0" w:type="dxa"/>
        <w:shd w:val="clear" w:color="auto" w:fill="CCCCCC"/>
        <w:tblLayout w:type="fixed"/>
        <w:tblCellMar>
          <w:top w:w="0" w:type="dxa"/>
          <w:left w:w="0" w:type="dxa"/>
          <w:bottom w:w="0" w:type="dxa"/>
          <w:right w:w="0" w:type="dxa"/>
        </w:tblCellMar>
      </w:tblPr>
      <w:tblGrid>
        <w:gridCol w:w="4242"/>
        <w:gridCol w:w="4242"/>
      </w:tblGrid>
      <w:tr>
        <w:tblPrEx>
          <w:shd w:val="clear" w:color="auto" w:fill="CCCCCC"/>
          <w:tblLayout w:type="fixed"/>
          <w:tblCellMar>
            <w:top w:w="0" w:type="dxa"/>
            <w:left w:w="0" w:type="dxa"/>
            <w:bottom w:w="0" w:type="dxa"/>
            <w:right w:w="0" w:type="dxa"/>
          </w:tblCellMar>
        </w:tblPrEx>
        <w:trPr>
          <w:tblCellSpacing w:w="7" w:type="dxa"/>
        </w:trPr>
        <w:tc>
          <w:tcPr>
            <w:tcW w:w="4221"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4"/>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4221"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shd w:val="clear" w:color="auto" w:fill="CCCCCC"/>
          <w:tblLayout w:type="fixed"/>
          <w:tblCellMar>
            <w:top w:w="0" w:type="dxa"/>
            <w:left w:w="0" w:type="dxa"/>
            <w:bottom w:w="0" w:type="dxa"/>
            <w:right w:w="0" w:type="dxa"/>
          </w:tblCellMar>
        </w:tblPrEx>
        <w:trPr>
          <w:tblCellSpacing w:w="7" w:type="dxa"/>
        </w:trPr>
        <w:tc>
          <w:tcPr>
            <w:tcW w:w="422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1、软件工程</w:t>
            </w:r>
          </w:p>
        </w:tc>
        <w:tc>
          <w:tcPr>
            <w:tcW w:w="422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204英语二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302数学二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408计算机学科专业基础综合</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四、复试形式</w:t>
      </w:r>
      <w:r>
        <w:rPr>
          <w:rFonts w:hint="eastAsia" w:ascii="宋体" w:hAnsi="宋体" w:eastAsia="宋体" w:cs="宋体"/>
          <w:b w:val="0"/>
          <w:i w:val="0"/>
          <w:caps w:val="0"/>
          <w:color w:val="575757"/>
          <w:spacing w:val="0"/>
          <w:kern w:val="0"/>
          <w:sz w:val="18"/>
          <w:szCs w:val="18"/>
          <w:shd w:val="clear" w:fill="FFFFFF"/>
          <w:lang w:val="en-US" w:eastAsia="zh-CN" w:bidi="ar"/>
        </w:rPr>
        <w:t>：面试+上机。</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1、专业基础测评（上机）：专业基础测评主要考察考生有关C++和数据结构的基础知识及基本运用能力。本部分成绩为“通过/不通过”，只有“通过”考生方可录取。</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2、英语综合面试（满分50分）：重点考核考生的英语听说能力。</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专业综合面试（满分100分）：主要考察考生对本学科（专业）理论知识和应用技能的掌握程度，包括考生对本专业基础知识的掌握和理解程度，综合应用所学知识解决实际问题的能力；考察考生在本专业以外的学习、科研、社会实践或实际工作等方面的经历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：满分100分，其中英语综合面试满分50分，专业综合面试满分100分，复试成绩=（英语综合面试成绩+专业综合面试成绩）÷1.5。</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：满分100分，初试成绩不计政治，复试成绩占比50%，即最终成绩=（初试成绩【不计政治】÷4+复试成绩）÷2。</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b w:val="0"/>
          <w:i w:val="0"/>
          <w:caps w:val="0"/>
          <w:color w:val="575757"/>
          <w:spacing w:val="0"/>
          <w:kern w:val="0"/>
          <w:sz w:val="18"/>
          <w:szCs w:val="18"/>
          <w:shd w:val="clear" w:fill="FFFFFF"/>
          <w:lang w:val="en-US" w:eastAsia="zh-CN" w:bidi="ar"/>
        </w:rPr>
        <w:t>：本专业在生源不足的情况下接受调剂。调剂信息将于复试阶段在中国科大研究生招生在线网站（http://yz.ustc.edu.cn）发布”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b w:val="0"/>
          <w:i w:val="0"/>
          <w:caps w:val="0"/>
          <w:color w:val="575757"/>
          <w:spacing w:val="0"/>
          <w:kern w:val="0"/>
          <w:sz w:val="18"/>
          <w:szCs w:val="18"/>
          <w:shd w:val="clear" w:fill="FFFFFF"/>
          <w:lang w:val="en-US" w:eastAsia="zh-CN" w:bidi="ar"/>
        </w:rPr>
        <w:t>：共计4万元，第一学年初缴费2万元，第二学年初缴费2万元。</w:t>
      </w:r>
    </w:p>
    <w:p>
      <w:pPr>
        <w:rPr>
          <w:rFonts w:hint="eastAsia" w:ascii="宋体" w:hAnsi="宋体" w:eastAsia="宋体" w:cs="宋体"/>
          <w:b/>
          <w:i w:val="0"/>
          <w:caps w:val="0"/>
          <w:color w:val="666666"/>
          <w:spacing w:val="0"/>
          <w:sz w:val="18"/>
          <w:szCs w:val="18"/>
          <w:shd w:val="clear" w:fill="DEF1F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C94550"/>
    <w:rsid w:val="09C9455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2018-09-15T08:20:00Z</dcterms:created>
  <dc:creator>Zlh</dc:creator>
  <cp:lastModifiedBy>Zlh</cp:lastModifiedBy>
  <dcterms:modified xsi:type="dcterms:W3CDTF">2018-09-15T08:23:39Z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