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6"/>
          <w:szCs w:val="44"/>
        </w:rPr>
      </w:pPr>
      <w:r>
        <w:rPr>
          <w:rFonts w:hint="eastAsia"/>
          <w:b/>
          <w:bCs/>
          <w:sz w:val="36"/>
          <w:szCs w:val="44"/>
        </w:rPr>
        <w:t>01 哲学</w:t>
      </w:r>
    </w:p>
    <w:tbl>
      <w:tblPr>
        <w:tblW w:w="13786" w:type="dxa"/>
        <w:tblCellSpacing w:w="0" w:type="dxa"/>
        <w:tblInd w:w="0" w:type="dxa"/>
        <w:shd w:val="clear"/>
        <w:tblLayout w:type="fixed"/>
        <w:tblCellMar>
          <w:top w:w="0" w:type="dxa"/>
          <w:left w:w="0" w:type="dxa"/>
          <w:bottom w:w="0" w:type="dxa"/>
          <w:right w:w="0" w:type="dxa"/>
        </w:tblCellMar>
      </w:tblPr>
      <w:tblGrid>
        <w:gridCol w:w="1704"/>
        <w:gridCol w:w="3979"/>
        <w:gridCol w:w="1704"/>
        <w:gridCol w:w="3979"/>
        <w:gridCol w:w="2420"/>
      </w:tblGrid>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联系电话020-85211425|联系人:余老师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010101</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马克思主义哲学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马克思主义哲学专业学科是哲学的二级学科，本学科包括马克思主义哲学的理论、历史和应用三个方面。根据现有条件，设四个个培养方向：道德哲学、美学、社会发展哲学和政治哲学。要求研究生系统地掌握马克思主义唯物论、辩证法、认识论、价值论、道德论、历史观、宗教论等的基本观点、基本立场和基本方法，培养其独立地分析问题和解决问题的能力。</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道德哲学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美学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社会发展哲学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政治哲学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00101  马克思主义哲学史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联系电话020-85211425|联系人:余老师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010102</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中国哲学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培养既有扎实的中国哲学与中国文化功夫又有宽阔的知识面的一专多能的人才，实行“两个结合”（导师个人负责与专业指导组集体培养相结合、研读中国哲学经典和把握中国哲学的最新研究成果相结合）、“两个打通”（古今打通、中西打通）、“两个鼓励”（鼓励大胆探索、鼓励发表学术论文）等教研策略。本指导组共有教师5名，其中教授2名、副教授1名、讲师2名，全部具有博士学位。教师们出版了关于先秦子学、宋明理学等领域的著作10多部，在《中国社会科学》、《哲学研究》、《中国哲学史》、《孔子研究》、《周易研究》等刊物发表论文100多篇，荀学研究、墨学研究等方面的成果很有影响。研究生在读期间或单独或与导师合作在《现代哲学》、《学术研究》、《佛山科技学院学报》等刊物发表论文10多篇。</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中国古代哲学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走向世界的中国哲学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中国哲学与中国教育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00102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联系电话020-85211425|联系人:余老师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010104</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逻辑学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本专业下设形式逻辑与逻辑哲学、语言逻辑、法律逻辑和决策逻辑四个研究方向，旨在培养具有较高哲学理论素养，较宽厚逻辑学功底的理论人才、学术人才以及实际工作领域人才。本专业导师有比较广阔的专业背景，有丰富的实际工作经验和教学经验。本专业学生主要学习逻辑学、哲学等方面的基本理论和基础知识，受到公理化方法、形式化方法和语义分析方面的基本训练，比较系统地掌握逻辑学专业的基础知识、专业知识以及马克思主义哲学的基本理论和方法，了解当代世界主要逻辑和哲学思潮，具有一定的社会科学、自然科学和思维科学的基础知识，有较强的理论思维能力、社会活动能力、表达能力和专业研究的基本能力。</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形式逻辑与逻辑哲学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语言逻辑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法律逻辑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决策逻辑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00103  形式逻辑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联系电话020-85211425|联系人:余老师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010105</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伦理学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着力于培养学生拥有广博扎实的哲学社会科学功底，具有良好的公民意识和社会责任感，掌握系统的伦理学及相关学科专业知识，了解伦理学发展的前沿动态，具有较高的研究能力和较强的适应能力，能独立从事伦理学、哲学和思想政治教育的大专院校教学科研、中小学教学以及公务员系统、新闻出版和各大企事业单位的行政管理和理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bdr w:val="none" w:color="auto" w:sz="0" w:space="0"/>
              </w:rPr>
            </w:pPr>
            <w:r>
              <w:rPr>
                <w:caps w:val="0"/>
                <w:spacing w:val="0"/>
                <w:bdr w:val="none" w:color="auto" w:sz="0" w:space="0"/>
              </w:rPr>
              <w:t xml:space="preserve">    下设伦理学基础理论研究、实践（应用）伦理学研究、中国伦理思想研究、西方伦理思想研究、中西伦理思想比较研究和当代中国道德建设研究等6个研究方向。在哲学二级学科中具有综合性强、交叉性明显、实践性突出、培养口径宽广、适应面宽泛等特点，课程和研究方向涵盖中西、兼具理论和实践，国际学术意识和本土根基相结合，学科发展方向明确，建设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师资队伍学术背景优良、实力雄厚。现有教授3人，讲师2人，4人具有博士学位，多毕业于北大、清华等国内名校，曾到哈佛大学等世界名校访问交流，学术声誉和社会影响良好。自2000年获得硕士学位授予权以来已招收硕士生120多人（含外国留学生1人），毕业后不少学生考入国内外名校继续深造，其余大部分学生毕业之后都顺利参加工作，逐渐成长为高等院校和中学的骨干教师以及各级企事业单位骨干人员。</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伦理学基础理论研究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西方伦理学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中国伦理学史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中外伦理思想比较研究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实践伦理学研究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当代中国道德建设</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00104  伦理学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(002)公共管理学院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联系电话020-39310586|联系人：罗老师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010102</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中国哲学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中国古代哲学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00201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中国传统管理智慧及其哲学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00201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经典与解释</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00201  中国哲学史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(002)公共管理学院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联系电话020-39310586|联系人：罗老师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010103</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外国哲学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西方哲学史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本专业不招同等学力，不招推免生</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现代西方哲学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本专业不招同等学力，不招推免生</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法国哲学与现象学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本专业不招同等学力，不招推免生</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中西哲学比较</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00202  现代西方哲学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本专业不招同等学力，不招推免生</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(002)公共管理学院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联系电话020-39310586|联系人：罗老师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010108</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科学技术哲学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13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6" w:type="dxa"/>
              <w:jc w:val="center"/>
              <w:tblCellSpacing w:w="0" w:type="dxa"/>
              <w:tblInd w:w="2" w:type="dxa"/>
              <w:shd w:val="clear"/>
              <w:tblLayout w:type="fixed"/>
              <w:tblCellMar>
                <w:top w:w="0" w:type="dxa"/>
                <w:left w:w="0" w:type="dxa"/>
                <w:bottom w:w="0" w:type="dxa"/>
                <w:right w:w="0" w:type="dxa"/>
              </w:tblCellMar>
            </w:tblPr>
            <w:tblGrid>
              <w:gridCol w:w="1842"/>
              <w:gridCol w:w="1105"/>
              <w:gridCol w:w="3684"/>
              <w:gridCol w:w="3684"/>
              <w:gridCol w:w="921"/>
              <w:gridCol w:w="2350"/>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系统理论和系统管理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00203  科学哲学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逻辑与科学哲学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00203  科学哲学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科技与社会发展</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00203  科学哲学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科技伦理学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701  马克思主义哲学原理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801  西方哲学史</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00203  科学哲学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(008)文学院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010106</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3979"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美学</w:t>
            </w:r>
          </w:p>
        </w:tc>
      </w:tr>
      <w:tr>
        <w:tblPrEx>
          <w:shd w:val="clear"/>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966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2082"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1"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文艺美学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西方美学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马克思主义美学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614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808  中国文学史（古代文学、现代文学）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00811  中西美学史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bl>
          <w:p>
            <w:pPr>
              <w:jc w:val="left"/>
              <w:rPr>
                <w:rFonts w:hint="default" w:ascii="Verdana" w:hAnsi="Verdana" w:cs="Verdana"/>
                <w:caps w:val="0"/>
                <w:spacing w:val="0"/>
                <w:sz w:val="18"/>
                <w:szCs w:val="18"/>
              </w:rPr>
            </w:pPr>
          </w:p>
        </w:tc>
      </w:tr>
    </w:tbl>
    <w:p>
      <w:pPr>
        <w:rPr>
          <w:rFonts w:hint="eastAsia"/>
          <w:sz w:val="22"/>
          <w:szCs w:val="28"/>
        </w:rPr>
      </w:pPr>
      <w:bookmarkStart w:id="0" w:name="_GoBack"/>
      <w:bookmarkEnd w:id="0"/>
    </w:p>
    <w:sectPr>
      <w:pgSz w:w="15874" w:h="19843"/>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A548C"/>
    <w:rsid w:val="578A54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2018-09-21T02:06:00Z</dcterms:created>
  <dc:creator>Lm</dc:creator>
  <cp:lastModifiedBy>Lm</cp:lastModifiedBy>
  <dcterms:modified xsi:type="dcterms:W3CDTF">2018-09-21T02:10:35Z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