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459"/>
      <w:r>
        <w:t>中国语言文学系</w:t>
      </w:r>
      <w:bookmarkEnd w:id="0"/>
    </w:p>
    <w:p>
      <w:pPr>
        <w:adjustRightInd w:val="0"/>
        <w:snapToGrid w:val="0"/>
        <w:spacing w:line="336" w:lineRule="auto"/>
        <w:jc w:val="center"/>
        <w:rPr>
          <w:rFonts w:ascii="华文中宋" w:hAnsi="华文中宋" w:eastAsia="华文中宋"/>
          <w:b/>
          <w:szCs w:val="21"/>
        </w:rPr>
      </w:pPr>
      <w:r>
        <w:rPr>
          <w:rFonts w:ascii="华文中宋" w:hAnsi="华文中宋" w:eastAsia="华文中宋"/>
          <w:b/>
          <w:szCs w:val="21"/>
        </w:rPr>
        <w:t>学术学位硕士</w:t>
      </w:r>
      <w:r>
        <w:rPr>
          <w:rFonts w:hint="eastAsia" w:ascii="华文中宋" w:hAnsi="华文中宋" w:eastAsia="华文中宋"/>
          <w:b/>
          <w:szCs w:val="21"/>
        </w:rPr>
        <w:t>（全日制）</w:t>
      </w:r>
      <w:r>
        <w:rPr>
          <w:rFonts w:ascii="华文中宋" w:hAnsi="华文中宋" w:eastAsia="华文中宋"/>
          <w:b/>
          <w:szCs w:val="21"/>
        </w:rPr>
        <w:t>研究生招生简章</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院系：中文系            联系电话：87557713          联系人：陈燕玉</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中国语言文学系简称中文系，</w:t>
      </w:r>
      <w:r>
        <w:rPr>
          <w:rFonts w:hint="eastAsia" w:ascii="华文中宋" w:hAnsi="华文中宋" w:eastAsia="华文中宋"/>
          <w:szCs w:val="21"/>
        </w:rPr>
        <w:t>华中大中文系的前身是1980年成立的中国语言研究所（首任所长为著名语言学家严学宭先生），1985年正式建系。2013年，在教育部学位与研究生教育发展中心公布的全国高校一级学科排行榜中，中国语言文学学科居全国并列第12名，是国内同类高校中的佼佼者。</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中文系设有汉语言文学、汉语国际教育两个本科专业，具有一级学科博士授予权和一级学科博士后流动站，2011年被评为湖北省“中国语言文学”重点学科。目前本系共有硕士点8个（文艺学、语言学及应用语言学、汉语言文字学、中国古代文学、中国现当代文学、比较文学与世界文学等），博士点8个（文艺学、语言学及应用语言学、汉语言文字学、中国古代文学、中国现当代文学、比较文学与世界文学等），并建有汉语国际教育专业硕士学位点。有省级精品课程3门，校级精品课程3门。</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中文系现有专任教师34名，教授12名，副教授13名，余为讲师，大都拥有国内外名校博士学位，具有优良的学术背景和扎实的教学科研功底；其中“楚天学者”特聘教授1名，1人次担任全国中文专业教学指导委员会委员，1人次任汉语国际教育专业硕士学位教学指导委员会委员，2人次享受国务院特殊津贴，1人次为湖北省跨世纪学术带头人，15人次先后分别担任了全国、省级相关学会的副会长、会长、常务理事、理事、秘书长、副秘书长等学术职务。</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本系自建立以来，严学宭、尉迟治平、汪平、黄树先、王乾坤等知名学者曾执教于此，何锡章、方方、李俊国、程邦雄、何洪峰、王毅、路成文、蒋济永、黄仁瑄等一批在职教师，在语言学及应用语言学、音韵学、计算语言学、中国现当代文学、中国古代文学、文艺学等领域，学术成果丰富，在学术界享有良好声誉，已形成华中大中文系的语言与文学并重、基础与前沿兼顾的学术传统和特色。中文系主办的《语言研究》杂志（CSSCI来源）在海内外影响甚大，入选“2014中国国际影响力优秀学术期刊”、“2015中国最具国际影响力学术期刊”（人文社会科学）。著名作家方方教授主持的“中国当代写作研究中心”自2012年成立以来，已成功举办11季“春秋讲学”，邀请了20多位国内外著名作家和评论家驻校讲学，建立了当代知名作家和评论家演讲音像资料库，出版了十多卷“中国当代文学经典化研究丛书”，在学界和社会上影响越来越大。近年来，中文系教师先后承担了国家社科基金重大项目和一般项目10余项，教育部重点项目与规划项目20余项，其它省级科研课题10余项，1项成果获教育部人文社科优秀成果奖，10余项成果获省部级和其他学术奖；出版学术著作40多部，在国内重要学术期刊上发表论文300余篇。</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自建系以来，中文系就十分注重与海外学校、学术机关的学术交流，近年来，先后10余人次到美国、日本、德国、韩国、俄罗斯、新加坡等国以及港、台等地讲学、进行学术交流，并与美国韦恩州立大学、新西兰坎特伯雷大学、巴西米纳斯吉拉斯联邦大学合作，建立了孔子学院，与香港城市大学，韩国安东大学、庆尚大学，美国加州大学圣马科斯校区、德州大学、爱荷华州立大学等学校，建立了稳定的系际交流与合作关系。</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本着明德树人、知行合一的教育理念，华中大中文系有着丰富的语言和文学教育经验，自1987年开始招收本科生、1990年获得第一个硕士点以来，已培养出各类学生千余人，其中本科生1500余人，硕士生700余人，博士生60余人。本科生升学、就业率高，不少学生推免保送至北大、复旦、南大等国内顶尖高校和文科强校深造。毕业生大都在党政机关、各级新闻媒体和各类学校等单位工作，有数十人分别考取北京大学、清华大学、北京师范大学、南京大学、浙江大学、武汉大学、华东师范大学、中山大学、中国社会科学院等单位的硕士、博士。现在在校本科生400余人，硕士生160余人，博士生30余人。</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中文系资料室藏书丰富，有图书9万余册并订有大量国内外主要学术期刊，教学、科研环境良好。</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热烈欢迎海内外同仁到中文系工作，讲学；衷心欢迎报考中文系的本科、硕士与博士。</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中文系学术学位硕士生接受推免生的比例如下：文学类专业</w:t>
      </w:r>
      <w:r>
        <w:rPr>
          <w:rFonts w:hint="eastAsia" w:ascii="华文中宋" w:hAnsi="华文中宋" w:eastAsia="华文中宋"/>
          <w:szCs w:val="21"/>
        </w:rPr>
        <w:t>70%</w:t>
      </w:r>
      <w:r>
        <w:rPr>
          <w:rFonts w:ascii="华文中宋" w:hAnsi="华文中宋" w:eastAsia="华文中宋"/>
          <w:szCs w:val="21"/>
        </w:rPr>
        <w:t>收推免生，语言学及应用语言学、汉语言文字学</w:t>
      </w:r>
      <w:r>
        <w:rPr>
          <w:rFonts w:hint="eastAsia" w:ascii="华文中宋" w:hAnsi="华文中宋" w:eastAsia="华文中宋"/>
          <w:szCs w:val="21"/>
        </w:rPr>
        <w:t>70%</w:t>
      </w:r>
      <w:r>
        <w:rPr>
          <w:rFonts w:ascii="华文中宋" w:hAnsi="华文中宋" w:eastAsia="华文中宋"/>
          <w:szCs w:val="21"/>
        </w:rPr>
        <w:t>收推免生。推免生比例名额未用完则用于公开招考，但不超比例接收推免生。</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中文系学术学位硕士生的各项资助与奖学金严格执行国家和学校的政策。</w:t>
      </w:r>
    </w:p>
    <w:p>
      <w:pPr>
        <w:adjustRightInd w:val="0"/>
        <w:snapToGrid w:val="0"/>
        <w:spacing w:line="336" w:lineRule="auto"/>
        <w:jc w:val="center"/>
        <w:rPr>
          <w:rFonts w:ascii="华文中宋" w:hAnsi="华文中宋" w:eastAsia="华文中宋"/>
          <w:b/>
          <w:szCs w:val="21"/>
        </w:rPr>
      </w:pPr>
      <w:r>
        <w:rPr>
          <w:rFonts w:ascii="华文中宋" w:hAnsi="华文中宋" w:eastAsia="华文中宋"/>
          <w:b/>
          <w:szCs w:val="21"/>
        </w:rPr>
        <w:t>专业硕士学位</w:t>
      </w:r>
      <w:r>
        <w:rPr>
          <w:rFonts w:hint="eastAsia" w:ascii="华文中宋" w:hAnsi="华文中宋" w:eastAsia="华文中宋"/>
          <w:b/>
          <w:szCs w:val="21"/>
        </w:rPr>
        <w:t>（全日制、非全日制）</w:t>
      </w:r>
      <w:r>
        <w:rPr>
          <w:rFonts w:ascii="华文中宋" w:hAnsi="华文中宋" w:eastAsia="华文中宋"/>
          <w:b/>
          <w:szCs w:val="21"/>
        </w:rPr>
        <w:t>研究生招生简章</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院系：中文系            联系电话：87557713          联系人：陈燕玉</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中国语言文学系简称中文系，</w:t>
      </w:r>
      <w:r>
        <w:rPr>
          <w:rFonts w:hint="eastAsia" w:ascii="华文中宋" w:hAnsi="华文中宋" w:eastAsia="华文中宋"/>
          <w:szCs w:val="21"/>
        </w:rPr>
        <w:t>华中大中文系的前身是1980年成立的中国语言研究所（首任所长为著名语言学家严学宭先生），1985年正式建系。2013年，在教育部学位与研究生教育发展中心公布的全国高校一级学科排行榜中，中国语言文学学科居全国并列第12名，是国内同类高校中的佼佼者。</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中文系设有汉语言文学、汉语国际教育两个本科专业，具有一级学科博士授予权和一级学科博士后流动站，2011年被评为湖北省“中国语言文学”重点学科。目前本系共有硕士点8个（文艺学、语言学及应用语言学、汉语言文字学、中国古代文学、中国现当代文学、比较文学与世界文学等），博士点8个（文艺学、语言学及应用语言学、汉语言文字学、中国古代文学、中国现当代文学、比较文学与世界文学等），并建有汉语国际教育专业硕士学位点。有省级精品课程3门，校级精品课程3门。</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中文系现有专任教师34名，教授12名，副教授13名，余为讲师，大都拥有国内外名校博士学位，具有优良的学术背景和扎实的教学科研功底；其中“楚天学者”特聘教授1名，1人次担任全国中文专业教学指导委员会委员，1人次任汉语国际教育专业硕士学位教学指导委员会委员，2人次享受国务院特殊津贴，1人次为湖北省跨世纪学术带头人，15人次先后分别担任了全国、省级相关学会的副会长、会长、常务理事、理事、秘书长、副秘书长等学术职务。</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本系自建立以来，严学宭、尉迟治平、汪平、黄树先、王乾坤等知名学者曾执教于此，何锡章、方方、李俊国、程邦雄、何洪峰、王毅、路成文、蒋济永、黄仁瑄等一批在职教师，在语言学及应用语言学、音韵学、计算语言学、中国现当代文学、中国古代文学、文艺学等领域，学术成果丰富，在学术界享有良好声誉，已形成华中大中文系的语言与文学并重、基础与前沿兼顾的学术传统和特色。中文系主办的《语言研究》杂志（CSSCI来源）在海内外影响甚大，入选“2014中国国际影响力优秀学术期刊”、“2015中国最具国际影响力学术期刊”（人文社会科学）。著名作家方方教授主持的“中国当代写作研究中心”自2012年成立以来，已成功举办11季“春秋讲学”，邀请了20多位国内外著名作家和评论家驻校讲学，建立了当代知名作家和评论家演讲音像资料库，出版了十多卷“中国当代文学经典化研究丛书”，在学界和社会上影响越来越大。近年来，中文系教师先后承担了国家社科基金重大项目和一般项目10余项，教育部重点项目与规划项目20余项，其它省级科研课题10余项，1项成果获教育部人文社科优秀成果奖，10余项成果获省部级和其他学术奖；出版学术著作40多部，在国内重要学术期刊上发表论文300余篇。</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自建系以来，中文系就十分注重与海外学校、学术机关的学术交流，近年来，先后10余人次到美国、日本、德国、韩国、俄罗斯、新加坡等国以及港、台等地讲学、进行学术交流，并与美国韦恩州立大学、新西兰坎特伯雷大学、巴西米纳斯吉拉斯联邦大学合作，建立了孔子学院，与香港城市大学，韩国安东大学、庆尚大学，美国加州大学圣马科斯校区、德州大学、爱荷华州立大学等学校，建立了稳定的系际交流与合作关系。</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本着明德树人、知行合一的教育理念，华中大中文系有着丰富的语言和文学教育经验，自1987年开始招收本科生、1990年获得第一个硕士点以来，已培养出各类学生千余人，其中本科生1500余人，硕士生700余人，博士生60余人。本科生升学、就业率高，不少学生推免保送至北大、复旦、南大等国内顶尖高校和文科强校深造。毕业生大都在党政机关、各级新闻媒体和各类学校等单位工作，有数十人分别考取北京大学、清华大学、北京师范大学、南京大学、浙江大学、武汉大学、华东师范大学、中山大学、中国社会科学院等单位的硕士、博士。现在在校本科生400余人，硕士生160余人，博士生30余人。</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中文系资料室藏书丰富，有图书9万余册并订有大量国内外主要学术期刊，教学、科研环境良好。</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热烈欢迎海内外同仁到中文系工作</w:t>
      </w:r>
      <w:r>
        <w:rPr>
          <w:rFonts w:hint="eastAsia" w:ascii="华文中宋" w:hAnsi="华文中宋" w:eastAsia="华文中宋"/>
          <w:szCs w:val="21"/>
        </w:rPr>
        <w:t>、</w:t>
      </w:r>
      <w:r>
        <w:rPr>
          <w:rFonts w:ascii="华文中宋" w:hAnsi="华文中宋" w:eastAsia="华文中宋"/>
          <w:szCs w:val="21"/>
        </w:rPr>
        <w:t>讲学；衷心欢迎报考中文系本科、硕士与博士。</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中文系汉语国际教育专业硕士学位</w:t>
      </w:r>
      <w:r>
        <w:rPr>
          <w:rFonts w:hint="eastAsia" w:ascii="华文中宋" w:hAnsi="华文中宋" w:eastAsia="华文中宋"/>
          <w:szCs w:val="21"/>
        </w:rPr>
        <w:t>（全日制）</w:t>
      </w:r>
      <w:r>
        <w:rPr>
          <w:rFonts w:ascii="华文中宋" w:hAnsi="华文中宋" w:eastAsia="华文中宋"/>
          <w:szCs w:val="21"/>
        </w:rPr>
        <w:t>硕士生招生指标拟用</w:t>
      </w:r>
      <w:r>
        <w:rPr>
          <w:rFonts w:hint="eastAsia" w:ascii="华文中宋" w:hAnsi="华文中宋" w:eastAsia="华文中宋"/>
          <w:szCs w:val="21"/>
        </w:rPr>
        <w:t>7</w:t>
      </w:r>
      <w:r>
        <w:rPr>
          <w:rFonts w:ascii="华文中宋" w:hAnsi="华文中宋" w:eastAsia="华文中宋"/>
          <w:szCs w:val="21"/>
        </w:rPr>
        <w:t>0%接收推免生。各项资助与奖学金标准严格执行国家和学校相关政策。</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201</w:t>
      </w:r>
      <w:r>
        <w:rPr>
          <w:rFonts w:hint="eastAsia" w:ascii="华文中宋" w:hAnsi="华文中宋" w:eastAsia="华文中宋"/>
          <w:szCs w:val="21"/>
        </w:rPr>
        <w:t>9</w:t>
      </w:r>
      <w:r>
        <w:rPr>
          <w:rFonts w:ascii="华文中宋" w:hAnsi="华文中宋" w:eastAsia="华文中宋"/>
          <w:szCs w:val="21"/>
        </w:rPr>
        <w:t>年</w:t>
      </w:r>
      <w:r>
        <w:rPr>
          <w:rFonts w:hint="eastAsia" w:ascii="华文中宋" w:hAnsi="华文中宋" w:eastAsia="华文中宋"/>
          <w:szCs w:val="21"/>
        </w:rPr>
        <w:t>中文系</w:t>
      </w:r>
      <w:r>
        <w:rPr>
          <w:rFonts w:ascii="华文中宋" w:hAnsi="华文中宋" w:eastAsia="华文中宋"/>
          <w:szCs w:val="21"/>
        </w:rPr>
        <w:t>硕士研究生分专业指标比例分配如下表：</w:t>
      </w:r>
    </w:p>
    <w:tbl>
      <w:tblPr>
        <w:tblStyle w:val="15"/>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0"/>
        <w:gridCol w:w="1729"/>
        <w:gridCol w:w="1457"/>
        <w:gridCol w:w="1405"/>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jc w:val="center"/>
              <w:rPr>
                <w:rFonts w:ascii="华文中宋" w:hAnsi="华文中宋" w:eastAsia="华文中宋"/>
                <w:szCs w:val="21"/>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专业代码</w:t>
            </w:r>
          </w:p>
        </w:tc>
        <w:tc>
          <w:tcPr>
            <w:tcW w:w="172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专业名称</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各专业下每类考生比例</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专业总比例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jc w:val="center"/>
              <w:rPr>
                <w:rFonts w:ascii="华文中宋" w:hAnsi="华文中宋" w:eastAsia="华文中宋"/>
                <w:szCs w:val="21"/>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p>
        </w:tc>
        <w:tc>
          <w:tcPr>
            <w:tcW w:w="14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公开招考</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推免生</w:t>
            </w: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学术</w:t>
            </w:r>
            <w:r>
              <w:rPr>
                <w:rFonts w:ascii="华文中宋" w:hAnsi="华文中宋" w:eastAsia="华文中宋"/>
                <w:szCs w:val="21"/>
              </w:rPr>
              <w:t>硕士</w:t>
            </w:r>
          </w:p>
        </w:tc>
        <w:tc>
          <w:tcPr>
            <w:tcW w:w="1410" w:type="dxa"/>
            <w:tcBorders>
              <w:top w:val="single" w:color="auto" w:sz="4" w:space="0"/>
              <w:left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050101</w:t>
            </w:r>
          </w:p>
          <w:p>
            <w:pPr>
              <w:adjustRightInd w:val="0"/>
              <w:snapToGrid w:val="0"/>
              <w:jc w:val="center"/>
              <w:rPr>
                <w:rFonts w:ascii="华文中宋" w:hAnsi="华文中宋" w:eastAsia="华文中宋"/>
                <w:szCs w:val="21"/>
              </w:rPr>
            </w:pPr>
            <w:r>
              <w:rPr>
                <w:rFonts w:ascii="华文中宋" w:hAnsi="华文中宋" w:eastAsia="华文中宋"/>
                <w:szCs w:val="21"/>
              </w:rPr>
              <w:t>050105</w:t>
            </w:r>
          </w:p>
          <w:p>
            <w:pPr>
              <w:adjustRightInd w:val="0"/>
              <w:snapToGrid w:val="0"/>
              <w:jc w:val="center"/>
              <w:rPr>
                <w:rFonts w:ascii="华文中宋" w:hAnsi="华文中宋" w:eastAsia="华文中宋"/>
                <w:szCs w:val="21"/>
              </w:rPr>
            </w:pPr>
            <w:r>
              <w:rPr>
                <w:rFonts w:ascii="华文中宋" w:hAnsi="华文中宋" w:eastAsia="华文中宋"/>
                <w:szCs w:val="21"/>
              </w:rPr>
              <w:t>050106</w:t>
            </w:r>
          </w:p>
          <w:p>
            <w:pPr>
              <w:adjustRightInd w:val="0"/>
              <w:snapToGrid w:val="0"/>
              <w:jc w:val="center"/>
              <w:rPr>
                <w:rFonts w:ascii="华文中宋" w:hAnsi="华文中宋" w:eastAsia="华文中宋"/>
                <w:szCs w:val="21"/>
              </w:rPr>
            </w:pPr>
            <w:r>
              <w:rPr>
                <w:rFonts w:ascii="华文中宋" w:hAnsi="华文中宋" w:eastAsia="华文中宋"/>
                <w:szCs w:val="21"/>
              </w:rPr>
              <w:t>050108</w:t>
            </w:r>
          </w:p>
          <w:p>
            <w:pPr>
              <w:adjustRightInd w:val="0"/>
              <w:snapToGrid w:val="0"/>
              <w:jc w:val="center"/>
              <w:rPr>
                <w:rFonts w:ascii="华文中宋" w:hAnsi="华文中宋" w:eastAsia="华文中宋"/>
                <w:szCs w:val="21"/>
              </w:rPr>
            </w:pPr>
            <w:r>
              <w:rPr>
                <w:rFonts w:ascii="华文中宋" w:hAnsi="华文中宋" w:eastAsia="华文中宋"/>
                <w:szCs w:val="21"/>
              </w:rPr>
              <w:t>050102</w:t>
            </w:r>
          </w:p>
          <w:p>
            <w:pPr>
              <w:adjustRightInd w:val="0"/>
              <w:snapToGrid w:val="0"/>
              <w:jc w:val="center"/>
              <w:rPr>
                <w:rFonts w:ascii="华文中宋" w:hAnsi="华文中宋" w:eastAsia="华文中宋"/>
                <w:szCs w:val="21"/>
              </w:rPr>
            </w:pPr>
            <w:r>
              <w:rPr>
                <w:rFonts w:ascii="华文中宋" w:hAnsi="华文中宋" w:eastAsia="华文中宋"/>
                <w:szCs w:val="21"/>
              </w:rPr>
              <w:t>050103</w:t>
            </w:r>
          </w:p>
        </w:tc>
        <w:tc>
          <w:tcPr>
            <w:tcW w:w="1729" w:type="dxa"/>
            <w:tcBorders>
              <w:top w:val="single" w:color="auto" w:sz="4" w:space="0"/>
              <w:left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各专业</w:t>
            </w:r>
          </w:p>
        </w:tc>
        <w:tc>
          <w:tcPr>
            <w:tcW w:w="1457" w:type="dxa"/>
            <w:tcBorders>
              <w:top w:val="single" w:color="auto" w:sz="4" w:space="0"/>
              <w:left w:val="single" w:color="auto" w:sz="4" w:space="0"/>
              <w:right w:val="single" w:color="auto" w:sz="4" w:space="0"/>
            </w:tcBorders>
            <w:vAlign w:val="center"/>
          </w:tcPr>
          <w:p>
            <w:pPr>
              <w:adjustRightInd w:val="0"/>
              <w:snapToGrid w:val="0"/>
              <w:jc w:val="center"/>
              <w:rPr>
                <w:rFonts w:ascii="华文中宋" w:hAnsi="华文中宋" w:eastAsia="华文中宋"/>
                <w:szCs w:val="21"/>
              </w:rPr>
            </w:pPr>
          </w:p>
          <w:p>
            <w:pPr>
              <w:adjustRightInd w:val="0"/>
              <w:snapToGrid w:val="0"/>
              <w:jc w:val="center"/>
              <w:rPr>
                <w:rFonts w:ascii="华文中宋" w:hAnsi="华文中宋" w:eastAsia="华文中宋"/>
                <w:szCs w:val="21"/>
              </w:rPr>
            </w:pPr>
            <w:r>
              <w:rPr>
                <w:rFonts w:ascii="华文中宋" w:hAnsi="华文中宋" w:eastAsia="华文中宋"/>
                <w:szCs w:val="21"/>
              </w:rPr>
              <w:t>30%</w:t>
            </w:r>
          </w:p>
        </w:tc>
        <w:tc>
          <w:tcPr>
            <w:tcW w:w="1405" w:type="dxa"/>
            <w:tcBorders>
              <w:top w:val="single" w:color="auto" w:sz="4" w:space="0"/>
              <w:left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70%</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专业硕士</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045300</w:t>
            </w:r>
          </w:p>
        </w:tc>
        <w:tc>
          <w:tcPr>
            <w:tcW w:w="17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汉语国际教育</w:t>
            </w:r>
          </w:p>
        </w:tc>
        <w:tc>
          <w:tcPr>
            <w:tcW w:w="14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30%</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70%</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合计</w:t>
            </w:r>
          </w:p>
        </w:tc>
        <w:tc>
          <w:tcPr>
            <w:tcW w:w="14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30%</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70%</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Cs w:val="21"/>
              </w:rPr>
            </w:pPr>
          </w:p>
        </w:tc>
      </w:tr>
    </w:tbl>
    <w:p>
      <w:pPr>
        <w:adjustRightInd w:val="0"/>
        <w:snapToGrid w:val="0"/>
        <w:spacing w:line="280" w:lineRule="exact"/>
        <w:rPr>
          <w:rFonts w:ascii="华文中宋" w:hAnsi="华文中宋" w:eastAsia="华文中宋"/>
          <w:szCs w:val="21"/>
        </w:rPr>
      </w:pPr>
    </w:p>
    <w:p>
      <w:pPr>
        <w:pStyle w:val="3"/>
        <w:rPr>
          <w:rFonts w:hint="eastAsia"/>
          <w:lang w:eastAsia="zh-CN"/>
        </w:rPr>
      </w:pPr>
      <w:r>
        <w:rPr>
          <w:rFonts w:ascii="华文中宋" w:hAnsi="华文中宋" w:eastAsia="华文中宋"/>
          <w:szCs w:val="21"/>
        </w:rPr>
        <w:br w:type="page"/>
      </w:r>
      <w:bookmarkStart w:id="1" w:name="_Toc511916701"/>
      <w:bookmarkStart w:id="2" w:name="_Toc524018460"/>
      <w:r>
        <w:t>学术学位招生目录</w:t>
      </w:r>
      <w:bookmarkEnd w:id="1"/>
      <w:bookmarkEnd w:id="2"/>
    </w:p>
    <w:tbl>
      <w:tblPr>
        <w:tblStyle w:val="15"/>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53"/>
        <w:gridCol w:w="127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53"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74"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3" w:name="_Toc524018461"/>
            <w:r>
              <w:rPr>
                <w:rFonts w:hint="eastAsia"/>
                <w:lang w:val="en-US" w:eastAsia="zh-CN"/>
              </w:rPr>
              <w:t>401中国语言文学系</w:t>
            </w:r>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53"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4" w:name="_Toc524018462"/>
            <w:r>
              <w:rPr>
                <w:rFonts w:hint="eastAsia"/>
                <w:lang w:val="en-US" w:eastAsia="zh-CN"/>
              </w:rPr>
              <w:t>050101文艺学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243 德语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③610 汉语言文学基础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④855 文学理论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( 201、202、203、243 选一)</w:t>
            </w: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(全日制)文学理论基本原理</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(全日制)西方诗学与批评</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(全日制)性别与文学批评</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(全日制)文学阐释学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(全日制)影视艺术与赛博文化</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53" w:type="dxa"/>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5" w:name="_Toc524018463"/>
            <w:r>
              <w:rPr>
                <w:rFonts w:hint="eastAsia"/>
                <w:lang w:val="en-US" w:eastAsia="zh-CN"/>
              </w:rPr>
              <w:t>050102语言学及应用语言学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restart"/>
            <w:vAlign w:val="top"/>
          </w:tcPr>
          <w:p>
            <w:pPr>
              <w:adjustRightInd w:val="0"/>
              <w:snapToGrid w:val="0"/>
              <w:spacing w:line="27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7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243 德语 </w:t>
            </w:r>
          </w:p>
          <w:p>
            <w:pPr>
              <w:adjustRightInd w:val="0"/>
              <w:snapToGrid w:val="0"/>
              <w:spacing w:line="27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③610 汉语言文学基础 </w:t>
            </w:r>
          </w:p>
          <w:p>
            <w:pPr>
              <w:adjustRightInd w:val="0"/>
              <w:snapToGrid w:val="0"/>
              <w:spacing w:line="27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④854 普通语言学 </w:t>
            </w:r>
          </w:p>
          <w:p>
            <w:pPr>
              <w:adjustRightInd w:val="0"/>
              <w:snapToGrid w:val="0"/>
              <w:spacing w:line="274" w:lineRule="exact"/>
              <w:ind w:left="735" w:hanging="735" w:hangingChars="350"/>
              <w:rPr>
                <w:rFonts w:ascii="华文中宋" w:hAnsi="华文中宋" w:eastAsia="华文中宋"/>
                <w:szCs w:val="21"/>
              </w:rPr>
            </w:pPr>
            <w:r>
              <w:rPr>
                <w:rFonts w:hint="eastAsia" w:ascii="华文中宋" w:hAnsi="华文中宋" w:eastAsia="华文中宋"/>
                <w:szCs w:val="21"/>
              </w:rPr>
              <w:t>( 201、202、203、243 选一)</w:t>
            </w: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(全日制)比较语言学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(全日制)对外汉语</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(全日制)计算语言学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(全日制)应用语言学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53" w:type="dxa"/>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464"/>
            <w:r>
              <w:rPr>
                <w:rFonts w:hint="eastAsia"/>
                <w:lang w:val="en-US" w:eastAsia="zh-CN"/>
              </w:rPr>
              <w:t>050103汉语言文字学</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243 德语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③610 汉语言文学基础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④854 普通语言学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( 201、202、203、243 选一)</w:t>
            </w: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(全日制)汉语史</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(全日制)文字学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(全日制)现代汉语</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7" w:name="_Toc524018465"/>
            <w:r>
              <w:rPr>
                <w:rFonts w:hint="eastAsia"/>
                <w:lang w:val="en-US" w:eastAsia="zh-CN"/>
              </w:rPr>
              <w:t>050105中国古代文学</w:t>
            </w:r>
            <w:bookmarkEnd w:id="7"/>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243 德语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③610 汉语言文学基础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④855 文学理论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( 201、202、203、243 选一)</w:t>
            </w: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(全日制)唐宋文学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(全日制)元明清文学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(全日制)先唐文学研究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(全日制)中国古典文献学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(全日制)海外汉学研究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(全日制)中国近代文学与文化</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(全日制)词学研究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53" w:type="dxa"/>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466"/>
            <w:r>
              <w:rPr>
                <w:rFonts w:hint="eastAsia"/>
                <w:lang w:val="en-US" w:eastAsia="zh-CN"/>
              </w:rPr>
              <w:t>050106中国现当代文学</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243 德语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③610 汉语言文学基础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④855 文学理论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( 201、202、203、243 选一)</w:t>
            </w: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(全日制)中国现当代文学语言研究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(全日制)中国现当代文学价值研究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(全日制)中国现当代文学与都市审美</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(全日制)中国现当代文学文本类型与叙事研究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(全日制)中国现当代诗歌研究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(全日制)中国现当代文学与文学批评</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(全日制)中国现当代乡土文学研究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53" w:type="dxa"/>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9" w:name="_Toc524018467"/>
            <w:r>
              <w:rPr>
                <w:rFonts w:hint="eastAsia"/>
                <w:lang w:val="en-US" w:eastAsia="zh-CN"/>
              </w:rPr>
              <w:t>050108比较文学与世界文学</w:t>
            </w:r>
            <w:bookmarkEnd w:id="9"/>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243 德语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③610 汉语言文学基础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④855 文学理论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( 201、202、203、243 选一)</w:t>
            </w: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(全日制)欧美文学研究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(全日制)中外文学比较研究</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(全日制)日本文学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(全日制)海外文学</w:t>
            </w:r>
          </w:p>
        </w:tc>
        <w:tc>
          <w:tcPr>
            <w:tcW w:w="812" w:type="dxa"/>
            <w:vAlign w:val="top"/>
          </w:tcPr>
          <w:p>
            <w:pPr>
              <w:adjustRightInd w:val="0"/>
              <w:snapToGrid w:val="0"/>
              <w:spacing w:line="280" w:lineRule="exact"/>
              <w:rPr>
                <w:rFonts w:ascii="华文中宋" w:hAnsi="华文中宋" w:eastAsia="华文中宋"/>
                <w:szCs w:val="21"/>
              </w:rPr>
            </w:pPr>
          </w:p>
        </w:tc>
        <w:tc>
          <w:tcPr>
            <w:tcW w:w="2953"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before="120" w:beforeLines="50"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53" w:type="dxa"/>
            <w:tcBorders>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pPr>
        <w:pStyle w:val="3"/>
        <w:rPr>
          <w:rFonts w:hint="eastAsia"/>
          <w:lang w:eastAsia="zh-CN"/>
        </w:rPr>
      </w:pPr>
      <w:r>
        <w:br w:type="page"/>
      </w:r>
      <w:bookmarkStart w:id="10" w:name="_Toc524018468"/>
      <w:r>
        <w:t>专业学位招生目录</w:t>
      </w:r>
      <w:bookmarkEnd w:id="10"/>
    </w:p>
    <w:tbl>
      <w:tblPr>
        <w:tblStyle w:val="15"/>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53"/>
        <w:gridCol w:w="127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53"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74"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bottom w:val="nil"/>
            </w:tcBorders>
            <w:vAlign w:val="top"/>
          </w:tcPr>
          <w:p>
            <w:pPr>
              <w:pStyle w:val="5"/>
              <w:rPr>
                <w:lang w:val="en-US" w:eastAsia="zh-CN"/>
              </w:rPr>
            </w:pPr>
            <w:bookmarkStart w:id="11" w:name="_Toc524018469"/>
            <w:bookmarkStart w:id="13" w:name="_GoBack"/>
            <w:r>
              <w:rPr>
                <w:rFonts w:hint="eastAsia"/>
                <w:lang w:val="en-US" w:eastAsia="zh-CN"/>
              </w:rPr>
              <w:t>401中国语言文学系</w:t>
            </w:r>
            <w:bookmarkEnd w:id="11"/>
            <w:bookmarkEnd w:id="13"/>
          </w:p>
        </w:tc>
        <w:tc>
          <w:tcPr>
            <w:tcW w:w="812" w:type="dxa"/>
            <w:tcBorders>
              <w:top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tcBorders>
              <w:top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single" w:color="auto" w:sz="4" w:space="0"/>
              <w:bottom w:val="nil"/>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pStyle w:val="6"/>
              <w:rPr>
                <w:lang w:val="en-US" w:eastAsia="zh-CN"/>
              </w:rPr>
            </w:pPr>
            <w:bookmarkStart w:id="12" w:name="_Toc524018470"/>
            <w:r>
              <w:rPr>
                <w:rFonts w:hint="eastAsia"/>
                <w:lang w:val="en-US" w:eastAsia="zh-CN"/>
              </w:rPr>
              <w:t>045300汉语国际教育</w:t>
            </w:r>
            <w:bookmarkEnd w:id="12"/>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restart"/>
            <w:tcBorders>
              <w:top w:val="nil"/>
              <w:left w:val="single" w:color="auto" w:sz="4" w:space="0"/>
              <w:bottom w:val="nil"/>
            </w:tcBorders>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203 日语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③354 汉语基础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④445 汉语国际教育基础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( 201、202、203 选一)</w:t>
            </w: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(全日制)汉语国际教育的理论与方法研究</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continue"/>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(全日制)汉语本体研究与对外汉语教学</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continue"/>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(全日制)汉语作为第二语言的习得研究</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continue"/>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(全日制)汉文化传播与跨文化交际研究</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continue"/>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51</w:t>
            </w:r>
            <w:r>
              <w:rPr>
                <w:rFonts w:hint="eastAsia" w:ascii="华文中宋" w:hAnsi="华文中宋" w:eastAsia="华文中宋"/>
                <w:szCs w:val="21"/>
              </w:rPr>
              <w:tab/>
            </w:r>
            <w:r>
              <w:rPr>
                <w:rFonts w:hint="eastAsia" w:ascii="华文中宋" w:hAnsi="华文中宋" w:eastAsia="华文中宋"/>
                <w:szCs w:val="21"/>
              </w:rPr>
              <w:t>(非全日制)汉语国际教育的理论与方法研究</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continue"/>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52</w:t>
            </w:r>
            <w:r>
              <w:rPr>
                <w:rFonts w:hint="eastAsia" w:ascii="华文中宋" w:hAnsi="华文中宋" w:eastAsia="华文中宋"/>
                <w:szCs w:val="21"/>
              </w:rPr>
              <w:tab/>
            </w:r>
            <w:r>
              <w:rPr>
                <w:rFonts w:hint="eastAsia" w:ascii="华文中宋" w:hAnsi="华文中宋" w:eastAsia="华文中宋"/>
                <w:szCs w:val="21"/>
              </w:rPr>
              <w:t>(非全日制)汉语本体研究与对外汉语教学</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vMerge w:val="continue"/>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53</w:t>
            </w:r>
            <w:r>
              <w:rPr>
                <w:rFonts w:hint="eastAsia" w:ascii="华文中宋" w:hAnsi="华文中宋" w:eastAsia="华文中宋"/>
                <w:szCs w:val="21"/>
              </w:rPr>
              <w:tab/>
            </w:r>
            <w:r>
              <w:rPr>
                <w:rFonts w:hint="eastAsia" w:ascii="华文中宋" w:hAnsi="华文中宋" w:eastAsia="华文中宋"/>
                <w:szCs w:val="21"/>
              </w:rPr>
              <w:t>(非全日制)汉语作为第二语言的习得研究</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54</w:t>
            </w:r>
            <w:r>
              <w:rPr>
                <w:rFonts w:hint="eastAsia" w:ascii="华文中宋" w:hAnsi="华文中宋" w:eastAsia="华文中宋"/>
                <w:szCs w:val="21"/>
              </w:rPr>
              <w:tab/>
            </w:r>
            <w:r>
              <w:rPr>
                <w:rFonts w:hint="eastAsia" w:ascii="华文中宋" w:hAnsi="华文中宋" w:eastAsia="华文中宋"/>
                <w:szCs w:val="21"/>
              </w:rPr>
              <w:t>(非全日制)汉文化传播与跨文化交际研究</w:t>
            </w: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tcBorders>
              <w:top w:val="nil"/>
              <w:left w:val="single" w:color="auto" w:sz="4" w:space="0"/>
              <w:bottom w:val="nil"/>
            </w:tcBorders>
            <w:vAlign w:val="top"/>
          </w:tcPr>
          <w:p>
            <w:pPr>
              <w:adjustRightInd w:val="0"/>
              <w:snapToGrid w:val="0"/>
              <w:spacing w:line="280" w:lineRule="exact"/>
              <w:rPr>
                <w:rFonts w:ascii="华文中宋" w:hAnsi="华文中宋" w:eastAsia="华文中宋"/>
                <w:szCs w:val="21"/>
              </w:rPr>
            </w:pPr>
          </w:p>
        </w:tc>
        <w:tc>
          <w:tcPr>
            <w:tcW w:w="2953" w:type="dxa"/>
            <w:tcBorders>
              <w:top w:val="nil"/>
              <w:left w:val="single" w:color="auto" w:sz="4" w:space="0"/>
              <w:bottom w:val="nil"/>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nil"/>
              <w:right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tcBorders>
              <w:top w:val="nil"/>
              <w:left w:val="single" w:color="auto" w:sz="4" w:space="0"/>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53" w:type="dxa"/>
            <w:tcBorders>
              <w:top w:val="nil"/>
              <w:left w:val="single" w:color="auto" w:sz="4" w:space="0"/>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74" w:type="dxa"/>
            <w:tcBorders>
              <w:top w:val="nil"/>
              <w:left w:val="single" w:color="auto" w:sz="4" w:space="0"/>
              <w:bottom w:val="single" w:color="auto" w:sz="4" w:space="0"/>
              <w:right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23030AD0"/>
    <w:rsid w:val="33103B31"/>
    <w:rsid w:val="37A46F2A"/>
    <w:rsid w:val="3C3D7222"/>
    <w:rsid w:val="3E8333CC"/>
    <w:rsid w:val="527A7137"/>
    <w:rsid w:val="539709A7"/>
    <w:rsid w:val="5FF639E9"/>
    <w:rsid w:val="60911CCF"/>
    <w:rsid w:val="63745D5E"/>
    <w:rsid w:val="680B58E5"/>
    <w:rsid w:val="681173E3"/>
    <w:rsid w:val="68856135"/>
    <w:rsid w:val="6C6A4959"/>
    <w:rsid w:val="6EAC391B"/>
    <w:rsid w:val="6EDC27A1"/>
    <w:rsid w:val="70975C93"/>
    <w:rsid w:val="75560F60"/>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1"/>
    <w:qFormat/>
    <w:uiPriority w:val="0"/>
    <w:pPr>
      <w:keepNext/>
      <w:keepLines/>
      <w:spacing w:line="280" w:lineRule="exact"/>
      <w:outlineLvl w:val="3"/>
    </w:pPr>
    <w:rPr>
      <w:rFonts w:ascii="华文中宋" w:hAnsi="华文中宋" w:eastAsia="黑体"/>
      <w:b/>
      <w:bCs/>
      <w:kern w:val="0"/>
      <w:sz w:val="24"/>
    </w:rPr>
  </w:style>
  <w:style w:type="character" w:default="1" w:styleId="11">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Body Text Indent 2"/>
    <w:basedOn w:val="1"/>
    <w:qFormat/>
    <w:uiPriority w:val="0"/>
    <w:pPr>
      <w:spacing w:after="120" w:line="480" w:lineRule="auto"/>
      <w:ind w:left="420" w:leftChars="200"/>
    </w:pPr>
    <w:rPr>
      <w:rFonts w:ascii="Times New Roman" w:hAnsi="Times New Roman"/>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page number"/>
    <w:basedOn w:val="11"/>
    <w:qFormat/>
    <w:uiPriority w:val="0"/>
  </w:style>
  <w:style w:type="character" w:styleId="13">
    <w:name w:val="HTML Typewriter"/>
    <w:qFormat/>
    <w:uiPriority w:val="0"/>
    <w:rPr>
      <w:rFonts w:ascii="宋体" w:hAnsi="宋体" w:eastAsia="宋体" w:cs="宋体"/>
      <w:sz w:val="12"/>
      <w:szCs w:val="12"/>
    </w:rPr>
  </w:style>
  <w:style w:type="character" w:styleId="14">
    <w:name w:val="Hyperlink"/>
    <w:qFormat/>
    <w:uiPriority w:val="0"/>
    <w:rPr>
      <w:color w:val="0000FF"/>
      <w:u w:val="single"/>
    </w:rPr>
  </w:style>
  <w:style w:type="paragraph" w:customStyle="1" w:styleId="16">
    <w:name w:val="msolistparagraph"/>
    <w:basedOn w:val="1"/>
    <w:qFormat/>
    <w:uiPriority w:val="0"/>
    <w:pPr>
      <w:ind w:firstLine="420" w:firstLineChars="200"/>
    </w:pPr>
    <w:rPr>
      <w:rFonts w:ascii="Calibri" w:hAnsi="Calibri"/>
      <w:szCs w:val="22"/>
    </w:rPr>
  </w:style>
  <w:style w:type="paragraph" w:customStyle="1" w:styleId="1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0">
    <w:name w:val="List Paragraph"/>
    <w:basedOn w:val="1"/>
    <w:qFormat/>
    <w:uiPriority w:val="0"/>
    <w:pPr>
      <w:ind w:firstLine="420" w:firstLineChars="200"/>
    </w:pPr>
  </w:style>
  <w:style w:type="character" w:customStyle="1" w:styleId="21">
    <w:name w:val="标题 4 Char"/>
    <w:link w:val="6"/>
    <w:qFormat/>
    <w:uiPriority w:val="0"/>
    <w:rPr>
      <w:rFonts w:ascii="华文中宋" w:hAnsi="华文中宋" w:eastAsia="黑体"/>
      <w:b/>
      <w:bCs/>
      <w:kern w:val="0"/>
      <w:sz w:val="24"/>
    </w:rPr>
  </w:style>
  <w:style w:type="paragraph" w:customStyle="1" w:styleId="22">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