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515"/>
      <w:r>
        <w:t>马克思主义学院</w:t>
      </w:r>
      <w:bookmarkEnd w:id="0"/>
    </w:p>
    <w:p>
      <w:pPr>
        <w:autoSpaceDE w:val="0"/>
        <w:autoSpaceDN w:val="0"/>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马克思主义学院成立于2007年9月，其前身为华中科技大学政治教育系。1997年开始招收马克思主义理论与思想政治教育专业硕士生，2006年获得马克思主义基本原理二级学科博士点和马克思主义理论一级学科硕士点，2013年9月马克思主义理论一级学科被评为湖北省重点学科，2015年2月设立了马克思主义理论一级学科博士后科研流动站。2016年3月学校通过学科点动态调整，增列马克思主义理论一级学科博士点。学院的学科建设正处在快速发展中，在2017年底公布的全国第四轮学科评估中位居B+（</w:t>
      </w:r>
      <w:r>
        <w:rPr>
          <w:rFonts w:hint="eastAsia" w:ascii="华文中宋" w:hAnsi="华文中宋" w:eastAsia="华文中宋" w:cs="·ÂËÎ"/>
          <w:kern w:val="0"/>
          <w:szCs w:val="21"/>
        </w:rPr>
        <w:t>前20%），绝对排名和相对排名都有较大提升。</w:t>
      </w:r>
    </w:p>
    <w:p>
      <w:pPr>
        <w:autoSpaceDE w:val="0"/>
        <w:autoSpaceDN w:val="0"/>
        <w:adjustRightInd w:val="0"/>
        <w:snapToGrid w:val="0"/>
        <w:spacing w:line="336" w:lineRule="auto"/>
        <w:ind w:firstLine="420" w:firstLineChars="200"/>
        <w:rPr>
          <w:rFonts w:ascii="华文中宋" w:hAnsi="华文中宋" w:eastAsia="华文中宋" w:cs="·ÂËÎ"/>
          <w:kern w:val="0"/>
          <w:szCs w:val="21"/>
        </w:rPr>
      </w:pPr>
      <w:r>
        <w:rPr>
          <w:rFonts w:hint="eastAsia" w:ascii="华文中宋" w:hAnsi="华文中宋" w:eastAsia="华文中宋"/>
          <w:szCs w:val="21"/>
        </w:rPr>
        <w:t>学院现有专任教师50余人，其中，教授10人、副教授23人，承担着全校本科生、硕士生和博士生三个层次的思想政治理论课教学任务和本院博士生、硕士生的培养任务。</w:t>
      </w:r>
      <w:r>
        <w:rPr>
          <w:rFonts w:hint="eastAsia" w:ascii="华文中宋" w:hAnsi="华文中宋" w:eastAsia="华文中宋" w:cs="仿宋"/>
          <w:kern w:val="0"/>
          <w:szCs w:val="21"/>
        </w:rPr>
        <w:t>近</w:t>
      </w:r>
      <w:r>
        <w:rPr>
          <w:rFonts w:hint="eastAsia" w:ascii="华文中宋" w:hAnsi="华文中宋" w:eastAsia="华文中宋" w:cs="·ÂËÎ"/>
          <w:kern w:val="0"/>
          <w:szCs w:val="21"/>
        </w:rPr>
        <w:t>5</w:t>
      </w:r>
      <w:r>
        <w:rPr>
          <w:rFonts w:hint="eastAsia" w:ascii="华文中宋" w:hAnsi="华文中宋" w:eastAsia="华文中宋" w:cs="仿宋"/>
          <w:kern w:val="0"/>
          <w:szCs w:val="21"/>
        </w:rPr>
        <w:t>年来，承担教育部哲学社会科学重大攻关项目、国家社会科学基金项目、教育部人文社科研究项目等国家和省部级科研项目</w:t>
      </w:r>
      <w:r>
        <w:rPr>
          <w:rFonts w:hint="eastAsia" w:ascii="华文中宋" w:hAnsi="华文中宋" w:eastAsia="华文中宋" w:cs="·ÂËÎ"/>
          <w:kern w:val="0"/>
          <w:szCs w:val="21"/>
        </w:rPr>
        <w:t>50</w:t>
      </w:r>
      <w:r>
        <w:rPr>
          <w:rFonts w:hint="eastAsia" w:ascii="华文中宋" w:hAnsi="华文中宋" w:eastAsia="华文中宋" w:cs="仿宋"/>
          <w:kern w:val="0"/>
          <w:szCs w:val="21"/>
        </w:rPr>
        <w:t>余项，在《哲学研究》、《马克</w:t>
      </w:r>
      <w:r>
        <w:rPr>
          <w:rFonts w:hint="eastAsia" w:ascii="华文中宋" w:hAnsi="华文中宋" w:eastAsia="华文中宋" w:cs="·ÂËÎ"/>
          <w:kern w:val="0"/>
          <w:szCs w:val="21"/>
        </w:rPr>
        <w:t>思主义与现实》、《管理世界》、《高等教育研究》等期刊上发表论文近200篇，出版专著30余部。相关咨询报告多次获得党和国家领导人的重要批示，4项成果获省级科研奖。</w:t>
      </w:r>
    </w:p>
    <w:p>
      <w:pPr>
        <w:autoSpaceDE w:val="0"/>
        <w:autoSpaceDN w:val="0"/>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本学科旨在培养“政治立场与个人品质兼优、理论素养与实践能力并重”的中国特色社会主义理论的研究者、传播者和践行者。既注重马列经典著作的深入研读，又强调当代理论的系统学习；既拓展国际视野，又关切中国现实，为高层次教学、科研和党政宣传等机构输送复合型专业人才。目前，在读全日制研究生1</w:t>
      </w:r>
      <w:r>
        <w:rPr>
          <w:rFonts w:hint="eastAsia" w:ascii="华文中宋" w:hAnsi="华文中宋" w:eastAsia="华文中宋"/>
          <w:szCs w:val="21"/>
        </w:rPr>
        <w:t>5</w:t>
      </w:r>
      <w:r>
        <w:rPr>
          <w:rFonts w:ascii="华文中宋" w:hAnsi="华文中宋" w:eastAsia="华文中宋"/>
          <w:szCs w:val="21"/>
        </w:rPr>
        <w:t>0余人，其中硕士生</w:t>
      </w:r>
      <w:r>
        <w:rPr>
          <w:rFonts w:hint="eastAsia" w:ascii="华文中宋" w:hAnsi="华文中宋" w:eastAsia="华文中宋"/>
          <w:szCs w:val="21"/>
        </w:rPr>
        <w:t>10</w:t>
      </w:r>
      <w:r>
        <w:rPr>
          <w:rFonts w:ascii="华文中宋" w:hAnsi="华文中宋" w:eastAsia="华文中宋"/>
          <w:szCs w:val="21"/>
        </w:rPr>
        <w:t>0余人，博士生40余人。</w:t>
      </w:r>
    </w:p>
    <w:p>
      <w:pPr>
        <w:autoSpaceDE w:val="0"/>
        <w:autoSpaceDN w:val="0"/>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201</w:t>
      </w:r>
      <w:r>
        <w:rPr>
          <w:rFonts w:hint="eastAsia" w:ascii="华文中宋" w:hAnsi="华文中宋" w:eastAsia="华文中宋"/>
          <w:szCs w:val="21"/>
        </w:rPr>
        <w:t>9</w:t>
      </w:r>
      <w:r>
        <w:rPr>
          <w:rFonts w:ascii="华文中宋" w:hAnsi="华文中宋" w:eastAsia="华文中宋"/>
          <w:szCs w:val="21"/>
        </w:rPr>
        <w:t>年，我院将在以下</w:t>
      </w:r>
      <w:r>
        <w:rPr>
          <w:rFonts w:hint="eastAsia" w:ascii="华文中宋" w:hAnsi="华文中宋" w:eastAsia="华文中宋"/>
          <w:szCs w:val="21"/>
        </w:rPr>
        <w:t>4</w:t>
      </w:r>
      <w:r>
        <w:rPr>
          <w:rFonts w:ascii="华文中宋" w:hAnsi="华文中宋" w:eastAsia="华文中宋"/>
          <w:szCs w:val="21"/>
        </w:rPr>
        <w:t>个专业招收学术学位硕士研究生</w:t>
      </w:r>
      <w:r>
        <w:rPr>
          <w:rFonts w:hint="eastAsia" w:ascii="华文中宋" w:hAnsi="华文中宋" w:eastAsia="华文中宋"/>
          <w:szCs w:val="21"/>
        </w:rPr>
        <w:t>，其中“党的建设”为今年新增专业</w:t>
      </w:r>
      <w:r>
        <w:rPr>
          <w:rFonts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bCs/>
          <w:szCs w:val="21"/>
        </w:rPr>
      </w:pPr>
      <w:r>
        <w:rPr>
          <w:rFonts w:ascii="华文中宋" w:hAnsi="华文中宋" w:eastAsia="华文中宋"/>
          <w:kern w:val="0"/>
          <w:szCs w:val="21"/>
        </w:rPr>
        <w:t>马克思主义基本原理：设有马克思主义经典著作研究、马克思主义思维方法、马克思主义</w:t>
      </w:r>
      <w:r>
        <w:rPr>
          <w:rFonts w:hint="eastAsia" w:ascii="华文中宋" w:hAnsi="华文中宋" w:eastAsia="华文中宋"/>
          <w:kern w:val="0"/>
          <w:szCs w:val="21"/>
        </w:rPr>
        <w:t>文化与价值理论</w:t>
      </w:r>
      <w:r>
        <w:rPr>
          <w:rFonts w:ascii="华文中宋" w:hAnsi="华文中宋" w:eastAsia="华文中宋"/>
          <w:kern w:val="0"/>
          <w:szCs w:val="21"/>
        </w:rPr>
        <w:t>、</w:t>
      </w:r>
      <w:r>
        <w:rPr>
          <w:rFonts w:hint="eastAsia" w:ascii="华文中宋" w:hAnsi="华文中宋" w:eastAsia="华文中宋"/>
          <w:kern w:val="0"/>
          <w:szCs w:val="21"/>
        </w:rPr>
        <w:t>国外马克思主义思潮与流派、</w:t>
      </w:r>
      <w:r>
        <w:rPr>
          <w:rFonts w:ascii="华文中宋" w:hAnsi="华文中宋" w:eastAsia="华文中宋"/>
          <w:kern w:val="0"/>
          <w:szCs w:val="21"/>
        </w:rPr>
        <w:t>马克思主义科学技术理论、</w:t>
      </w:r>
      <w:r>
        <w:rPr>
          <w:rFonts w:ascii="华文中宋" w:hAnsi="华文中宋" w:eastAsia="华文中宋"/>
          <w:bCs/>
          <w:szCs w:val="21"/>
        </w:rPr>
        <w:t>马克思主义与现代管理</w:t>
      </w:r>
      <w:r>
        <w:rPr>
          <w:rFonts w:ascii="华文中宋" w:hAnsi="华文中宋" w:eastAsia="华文中宋"/>
          <w:kern w:val="0"/>
          <w:szCs w:val="21"/>
        </w:rPr>
        <w:t>等研究方向。</w:t>
      </w:r>
    </w:p>
    <w:p>
      <w:pPr>
        <w:adjustRightInd w:val="0"/>
        <w:snapToGrid w:val="0"/>
        <w:spacing w:line="336" w:lineRule="auto"/>
        <w:ind w:firstLine="420" w:firstLineChars="200"/>
        <w:rPr>
          <w:rFonts w:ascii="华文中宋" w:hAnsi="华文中宋" w:eastAsia="华文中宋"/>
          <w:kern w:val="0"/>
          <w:szCs w:val="21"/>
        </w:rPr>
      </w:pPr>
      <w:r>
        <w:rPr>
          <w:rFonts w:ascii="华文中宋" w:hAnsi="华文中宋" w:eastAsia="华文中宋"/>
          <w:szCs w:val="21"/>
        </w:rPr>
        <w:t>马克思主义中国化研究</w:t>
      </w:r>
      <w:r>
        <w:rPr>
          <w:rFonts w:ascii="华文中宋" w:hAnsi="华文中宋" w:eastAsia="华文中宋"/>
          <w:bCs/>
          <w:szCs w:val="21"/>
        </w:rPr>
        <w:t>：</w:t>
      </w:r>
      <w:r>
        <w:rPr>
          <w:rFonts w:ascii="华文中宋" w:hAnsi="华文中宋" w:eastAsia="华文中宋"/>
          <w:kern w:val="0"/>
          <w:szCs w:val="21"/>
        </w:rPr>
        <w:t>设有马克思主义中国化的历史进程、中国特色社会主义理论、当代中国政治文明与政治发展、当代中国经济建设与民生发展、当代中国文化建设等研究方向。</w:t>
      </w:r>
    </w:p>
    <w:p>
      <w:pPr>
        <w:adjustRightInd w:val="0"/>
        <w:snapToGrid w:val="0"/>
        <w:spacing w:line="336" w:lineRule="auto"/>
        <w:ind w:firstLine="420" w:firstLineChars="200"/>
        <w:rPr>
          <w:rFonts w:ascii="华文中宋" w:hAnsi="华文中宋" w:eastAsia="华文中宋"/>
          <w:kern w:val="0"/>
          <w:szCs w:val="21"/>
        </w:rPr>
      </w:pPr>
      <w:r>
        <w:rPr>
          <w:rFonts w:ascii="华文中宋" w:hAnsi="华文中宋" w:eastAsia="华文中宋"/>
          <w:kern w:val="0"/>
          <w:szCs w:val="21"/>
        </w:rPr>
        <w:t>思想政治教育：设有思想政治教育理论与方法、大学德育、高校学生事务管理等研究方向。</w:t>
      </w:r>
    </w:p>
    <w:p>
      <w:pPr>
        <w:tabs>
          <w:tab w:val="left" w:pos="4525"/>
        </w:tabs>
        <w:adjustRightInd w:val="0"/>
        <w:snapToGrid w:val="0"/>
        <w:spacing w:line="336" w:lineRule="auto"/>
        <w:ind w:firstLine="420" w:firstLineChars="200"/>
        <w:rPr>
          <w:rFonts w:ascii="华文中宋" w:hAnsi="华文中宋" w:eastAsia="华文中宋"/>
          <w:kern w:val="0"/>
          <w:szCs w:val="21"/>
        </w:rPr>
      </w:pPr>
      <w:r>
        <w:rPr>
          <w:rFonts w:hint="eastAsia" w:ascii="华文中宋" w:hAnsi="华文中宋" w:eastAsia="华文中宋"/>
          <w:kern w:val="0"/>
          <w:szCs w:val="21"/>
        </w:rPr>
        <w:t>党的建设：设有党建理论研究、党建历程与经验研究、中国共产党治国理政研究、党务工作研究等研究方向。</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我院学术学位硕士生学制全部为3年，强调“宽口径，厚基础，重实践”的培养模式，全面实行研究生助研、助教、助管制度，注重科研能力的培养和综合素质的提高。</w:t>
      </w:r>
      <w:r>
        <w:rPr>
          <w:rFonts w:ascii="华文中宋" w:hAnsi="华文中宋" w:eastAsia="华文中宋"/>
          <w:bCs/>
          <w:szCs w:val="21"/>
        </w:rPr>
        <w:t>在学习成绩、科研成果、社会活动等方面表现突出的硕士生，还可申请单项奖学金和国家奖学金。</w:t>
      </w:r>
      <w:r>
        <w:rPr>
          <w:rFonts w:ascii="华文中宋" w:hAnsi="华文中宋" w:eastAsia="华文中宋"/>
          <w:szCs w:val="21"/>
        </w:rPr>
        <w:t>奖学金评定、助学金和贷款资助按学校</w:t>
      </w:r>
      <w:r>
        <w:rPr>
          <w:rFonts w:hint="eastAsia" w:ascii="华文中宋" w:hAnsi="华文中宋" w:eastAsia="华文中宋"/>
          <w:szCs w:val="21"/>
        </w:rPr>
        <w:t>和学院</w:t>
      </w:r>
      <w:r>
        <w:rPr>
          <w:rFonts w:ascii="华文中宋" w:hAnsi="华文中宋" w:eastAsia="华文中宋"/>
          <w:szCs w:val="21"/>
        </w:rPr>
        <w:t>相关</w:t>
      </w:r>
      <w:r>
        <w:rPr>
          <w:rFonts w:hint="eastAsia" w:ascii="华文中宋" w:hAnsi="华文中宋" w:eastAsia="华文中宋"/>
          <w:szCs w:val="21"/>
        </w:rPr>
        <w:t>规定</w:t>
      </w:r>
      <w:r>
        <w:rPr>
          <w:rFonts w:ascii="华文中宋" w:hAnsi="华文中宋" w:eastAsia="华文中宋"/>
          <w:szCs w:val="21"/>
        </w:rPr>
        <w:t>执行。</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201</w:t>
      </w:r>
      <w:r>
        <w:rPr>
          <w:rFonts w:hint="eastAsia" w:ascii="华文中宋" w:hAnsi="华文中宋" w:eastAsia="华文中宋"/>
          <w:szCs w:val="21"/>
        </w:rPr>
        <w:t>9</w:t>
      </w:r>
      <w:r>
        <w:rPr>
          <w:rFonts w:ascii="华文中宋" w:hAnsi="华文中宋" w:eastAsia="华文中宋"/>
          <w:szCs w:val="21"/>
        </w:rPr>
        <w:t>年我院公开招考和推免生各占招生计划的50%，热忱欢迎全国相关专业的优秀本科生报考华中科技大学马克思主义学院。</w:t>
      </w:r>
    </w:p>
    <w:p>
      <w:pPr>
        <w:adjustRightInd w:val="0"/>
        <w:snapToGrid w:val="0"/>
        <w:spacing w:line="336" w:lineRule="auto"/>
        <w:rPr>
          <w:rFonts w:ascii="华文中宋" w:hAnsi="华文中宋" w:eastAsia="华文中宋"/>
          <w:szCs w:val="21"/>
        </w:rPr>
      </w:pPr>
      <w:r>
        <w:rPr>
          <w:rFonts w:hint="eastAsia" w:ascii="华文中宋" w:hAnsi="华文中宋" w:eastAsia="华文中宋"/>
          <w:szCs w:val="21"/>
        </w:rPr>
        <w:t>附件1：</w:t>
      </w:r>
    </w:p>
    <w:p>
      <w:pPr>
        <w:adjustRightInd w:val="0"/>
        <w:snapToGrid w:val="0"/>
        <w:spacing w:line="336" w:lineRule="auto"/>
        <w:jc w:val="center"/>
        <w:rPr>
          <w:rFonts w:ascii="华文中宋" w:hAnsi="华文中宋" w:eastAsia="华文中宋"/>
          <w:szCs w:val="21"/>
        </w:rPr>
      </w:pPr>
      <w:r>
        <w:rPr>
          <w:rFonts w:hint="eastAsia" w:ascii="华文中宋" w:hAnsi="华文中宋" w:eastAsia="华文中宋"/>
          <w:szCs w:val="21"/>
        </w:rPr>
        <w:t>马克思主义学院2019年</w:t>
      </w:r>
      <w:r>
        <w:rPr>
          <w:rFonts w:ascii="华文中宋" w:hAnsi="华文中宋" w:eastAsia="华文中宋"/>
          <w:szCs w:val="21"/>
        </w:rPr>
        <w:t>硕士</w:t>
      </w:r>
      <w:r>
        <w:rPr>
          <w:rFonts w:hint="eastAsia" w:ascii="华文中宋" w:hAnsi="华文中宋" w:eastAsia="华文中宋"/>
          <w:szCs w:val="21"/>
        </w:rPr>
        <w:t>研究生分专业指标比例分配</w:t>
      </w:r>
    </w:p>
    <w:tbl>
      <w:tblPr>
        <w:tblStyle w:val="15"/>
        <w:tblW w:w="8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0"/>
        <w:gridCol w:w="1411"/>
        <w:gridCol w:w="1778"/>
        <w:gridCol w:w="140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6" w:type="dxa"/>
            <w:vMerge w:val="restart"/>
            <w:tcBorders>
              <w:tl2br w:val="single" w:color="auto" w:sz="4" w:space="0"/>
            </w:tcBorders>
            <w:vAlign w:val="center"/>
          </w:tcPr>
          <w:p>
            <w:pPr>
              <w:adjustRightInd w:val="0"/>
              <w:snapToGrid w:val="0"/>
              <w:jc w:val="center"/>
              <w:rPr>
                <w:rFonts w:ascii="华文中宋" w:hAnsi="华文中宋" w:eastAsia="华文中宋"/>
                <w:szCs w:val="21"/>
              </w:rPr>
            </w:pPr>
          </w:p>
          <w:p>
            <w:pPr>
              <w:adjustRightInd w:val="0"/>
              <w:snapToGrid w:val="0"/>
              <w:jc w:val="center"/>
              <w:rPr>
                <w:rFonts w:ascii="华文中宋" w:hAnsi="华文中宋" w:eastAsia="华文中宋"/>
                <w:szCs w:val="21"/>
              </w:rPr>
            </w:pPr>
          </w:p>
        </w:tc>
        <w:tc>
          <w:tcPr>
            <w:tcW w:w="1410"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专业代码</w:t>
            </w:r>
          </w:p>
        </w:tc>
        <w:tc>
          <w:tcPr>
            <w:tcW w:w="1411"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专业名称</w:t>
            </w:r>
          </w:p>
        </w:tc>
        <w:tc>
          <w:tcPr>
            <w:tcW w:w="3182" w:type="dxa"/>
            <w:gridSpan w:val="2"/>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各专业下每类考生比例</w:t>
            </w:r>
          </w:p>
        </w:tc>
        <w:tc>
          <w:tcPr>
            <w:tcW w:w="1269" w:type="dxa"/>
            <w:vMerge w:val="restart"/>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专业总比例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6" w:type="dxa"/>
            <w:vMerge w:val="continue"/>
            <w:tcBorders>
              <w:tl2br w:val="single" w:color="auto" w:sz="4" w:space="0"/>
            </w:tcBorders>
            <w:vAlign w:val="center"/>
          </w:tcPr>
          <w:p>
            <w:pPr>
              <w:adjustRightInd w:val="0"/>
              <w:snapToGrid w:val="0"/>
              <w:jc w:val="center"/>
              <w:rPr>
                <w:rFonts w:ascii="华文中宋" w:hAnsi="华文中宋" w:eastAsia="华文中宋"/>
                <w:szCs w:val="21"/>
              </w:rPr>
            </w:pPr>
          </w:p>
        </w:tc>
        <w:tc>
          <w:tcPr>
            <w:tcW w:w="1410" w:type="dxa"/>
            <w:vMerge w:val="continue"/>
            <w:vAlign w:val="center"/>
          </w:tcPr>
          <w:p>
            <w:pPr>
              <w:adjustRightInd w:val="0"/>
              <w:snapToGrid w:val="0"/>
              <w:jc w:val="center"/>
              <w:rPr>
                <w:rFonts w:ascii="华文中宋" w:hAnsi="华文中宋" w:eastAsia="华文中宋"/>
                <w:szCs w:val="21"/>
              </w:rPr>
            </w:pPr>
          </w:p>
        </w:tc>
        <w:tc>
          <w:tcPr>
            <w:tcW w:w="1411" w:type="dxa"/>
            <w:vMerge w:val="continue"/>
            <w:vAlign w:val="center"/>
          </w:tcPr>
          <w:p>
            <w:pPr>
              <w:adjustRightInd w:val="0"/>
              <w:snapToGrid w:val="0"/>
              <w:jc w:val="center"/>
              <w:rPr>
                <w:rFonts w:ascii="华文中宋" w:hAnsi="华文中宋" w:eastAsia="华文中宋"/>
                <w:szCs w:val="21"/>
              </w:rPr>
            </w:pPr>
          </w:p>
        </w:tc>
        <w:tc>
          <w:tcPr>
            <w:tcW w:w="1778"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公开招考</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推免生</w:t>
            </w:r>
          </w:p>
        </w:tc>
        <w:tc>
          <w:tcPr>
            <w:tcW w:w="1269" w:type="dxa"/>
            <w:vMerge w:val="continue"/>
            <w:vAlign w:val="center"/>
          </w:tcPr>
          <w:p>
            <w:pPr>
              <w:adjustRightInd w:val="0"/>
              <w:snapToGrid w:val="0"/>
              <w:jc w:val="center"/>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6"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硕士</w:t>
            </w:r>
          </w:p>
        </w:tc>
        <w:tc>
          <w:tcPr>
            <w:tcW w:w="1410"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0305</w:t>
            </w:r>
          </w:p>
        </w:tc>
        <w:tc>
          <w:tcPr>
            <w:tcW w:w="1411" w:type="dxa"/>
            <w:vAlign w:val="center"/>
          </w:tcPr>
          <w:p>
            <w:pPr>
              <w:adjustRightInd w:val="0"/>
              <w:snapToGrid w:val="0"/>
              <w:ind w:left="-105" w:leftChars="-50" w:right="-105" w:rightChars="-50"/>
              <w:jc w:val="center"/>
              <w:rPr>
                <w:rFonts w:ascii="华文中宋" w:hAnsi="华文中宋" w:eastAsia="华文中宋"/>
                <w:szCs w:val="21"/>
              </w:rPr>
            </w:pPr>
            <w:r>
              <w:rPr>
                <w:rFonts w:hint="eastAsia" w:ascii="华文中宋" w:hAnsi="华文中宋" w:eastAsia="华文中宋"/>
                <w:szCs w:val="21"/>
              </w:rPr>
              <w:t>马克思主义理论一级学科</w:t>
            </w:r>
          </w:p>
        </w:tc>
        <w:tc>
          <w:tcPr>
            <w:tcW w:w="1778"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50%</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50%</w:t>
            </w:r>
          </w:p>
        </w:tc>
        <w:tc>
          <w:tcPr>
            <w:tcW w:w="1269"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637" w:type="dxa"/>
            <w:gridSpan w:val="3"/>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合计</w:t>
            </w:r>
          </w:p>
        </w:tc>
        <w:tc>
          <w:tcPr>
            <w:tcW w:w="1778"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50%</w:t>
            </w:r>
          </w:p>
        </w:tc>
        <w:tc>
          <w:tcPr>
            <w:tcW w:w="1404"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50%</w:t>
            </w:r>
          </w:p>
        </w:tc>
        <w:tc>
          <w:tcPr>
            <w:tcW w:w="1269" w:type="dxa"/>
            <w:vAlign w:val="center"/>
          </w:tcPr>
          <w:p>
            <w:pPr>
              <w:adjustRightInd w:val="0"/>
              <w:snapToGrid w:val="0"/>
              <w:jc w:val="center"/>
              <w:rPr>
                <w:rFonts w:ascii="华文中宋" w:hAnsi="华文中宋" w:eastAsia="华文中宋"/>
                <w:szCs w:val="21"/>
              </w:rPr>
            </w:pPr>
            <w:r>
              <w:rPr>
                <w:rFonts w:hint="eastAsia" w:ascii="华文中宋" w:hAnsi="华文中宋" w:eastAsia="华文中宋"/>
                <w:szCs w:val="21"/>
              </w:rPr>
              <w:t>100%</w:t>
            </w:r>
          </w:p>
        </w:tc>
      </w:tr>
    </w:tbl>
    <w:p>
      <w:pPr>
        <w:adjustRightInd w:val="0"/>
        <w:snapToGrid w:val="0"/>
        <w:spacing w:line="288" w:lineRule="auto"/>
        <w:ind w:left="210" w:leftChars="100" w:right="210" w:rightChars="100"/>
        <w:rPr>
          <w:rFonts w:ascii="华文中宋" w:hAnsi="华文中宋" w:eastAsia="华文中宋"/>
          <w:szCs w:val="21"/>
        </w:rPr>
      </w:pPr>
      <w:r>
        <w:rPr>
          <w:rFonts w:hint="eastAsia" w:ascii="华文中宋" w:hAnsi="华文中宋" w:eastAsia="华文中宋"/>
          <w:szCs w:val="21"/>
        </w:rPr>
        <w:t>注：2019年的实际分配比例可能会根据实际情况在此基础上做适当调整；马克思主义理论一级学科（0305）含其下设的4个二级学科，即030501、030503、030505和0305Z1，详见招生简章。</w:t>
      </w:r>
    </w:p>
    <w:p>
      <w:pPr>
        <w:pStyle w:val="3"/>
        <w:rPr>
          <w:rFonts w:hint="eastAsia"/>
          <w:lang w:eastAsia="zh-CN"/>
        </w:rPr>
      </w:pPr>
      <w:r>
        <w:rPr>
          <w:rFonts w:ascii="华文中宋" w:hAnsi="华文中宋" w:eastAsia="华文中宋"/>
          <w:szCs w:val="21"/>
        </w:rPr>
        <w:br w:type="page"/>
      </w:r>
      <w:bookmarkStart w:id="1" w:name="_Toc511916758"/>
      <w:bookmarkStart w:id="2" w:name="_Toc524018516"/>
      <w:r>
        <w:t>学术学位招生目录</w:t>
      </w:r>
      <w:bookmarkEnd w:id="1"/>
      <w:bookmarkEnd w:id="2"/>
    </w:p>
    <w:tbl>
      <w:tblPr>
        <w:tblStyle w:val="15"/>
        <w:tblW w:w="8413"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46"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517"/>
            <w:bookmarkStart w:id="8" w:name="_GoBack"/>
            <w:r>
              <w:rPr>
                <w:rFonts w:hint="eastAsia"/>
                <w:lang w:val="en-US" w:eastAsia="zh-CN"/>
              </w:rPr>
              <w:t>408马克思主义学院</w:t>
            </w:r>
            <w:bookmarkEnd w:id="3"/>
            <w:bookmarkEnd w:id="8"/>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4" w:name="_Toc524018518"/>
            <w:r>
              <w:rPr>
                <w:rFonts w:hint="eastAsia"/>
                <w:lang w:val="en-US" w:eastAsia="zh-CN"/>
              </w:rPr>
              <w:t>030501马克思主义基本原理</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203 日语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③615 中国近现代史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④860 马克思主义理论综合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(全日制)马克思主义经典著作研究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(全日制)马克思主义思维方法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03</w:t>
            </w:r>
            <w:r>
              <w:rPr>
                <w:rFonts w:hint="eastAsia" w:ascii="华文中宋" w:hAnsi="华文中宋" w:eastAsia="华文中宋"/>
                <w:spacing w:val="-4"/>
                <w:szCs w:val="21"/>
              </w:rPr>
              <w:tab/>
            </w:r>
            <w:r>
              <w:rPr>
                <w:rFonts w:hint="eastAsia" w:ascii="华文中宋" w:hAnsi="华文中宋" w:eastAsia="华文中宋"/>
                <w:spacing w:val="-4"/>
                <w:szCs w:val="21"/>
              </w:rPr>
              <w:t>(全日制)马克思主义与现代管理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(全日制)马克思主义文化与价值理论</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(全日制)马克思主义科学技术理论</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(全日制)国外马克思主义思潮与流派</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spacing w:val="-4"/>
                <w:lang w:val="en-US" w:eastAsia="zh-CN"/>
              </w:rPr>
            </w:pPr>
            <w:bookmarkStart w:id="5" w:name="_Toc524018519"/>
            <w:r>
              <w:rPr>
                <w:rFonts w:hint="eastAsia"/>
                <w:spacing w:val="-4"/>
                <w:lang w:val="en-US" w:eastAsia="zh-CN"/>
              </w:rPr>
              <w:t>030503马克思主义中国化研究</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203 日语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③615 中国近现代史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④860 马克思主义理论综合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(全日制)马克思主义中国化的历史进程</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(全日制)当代中国政治文明与政治发展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(全日制)当代中国文化建设</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(全日制)当代中国经济建设与民生发展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ascii="华文中宋" w:hAnsi="华文中宋" w:eastAsia="华文中宋"/>
                <w:spacing w:val="-4"/>
                <w:szCs w:val="21"/>
              </w:rPr>
            </w:pPr>
            <w:r>
              <w:rPr>
                <w:rFonts w:hint="eastAsia" w:ascii="华文中宋" w:hAnsi="华文中宋" w:eastAsia="华文中宋"/>
                <w:spacing w:val="-4"/>
                <w:szCs w:val="21"/>
              </w:rPr>
              <w:t>05</w:t>
            </w:r>
            <w:r>
              <w:rPr>
                <w:rFonts w:hint="eastAsia" w:ascii="华文中宋" w:hAnsi="华文中宋" w:eastAsia="华文中宋"/>
                <w:spacing w:val="-4"/>
                <w:szCs w:val="21"/>
              </w:rPr>
              <w:tab/>
            </w:r>
            <w:r>
              <w:rPr>
                <w:rFonts w:hint="eastAsia" w:ascii="华文中宋" w:hAnsi="华文中宋" w:eastAsia="华文中宋"/>
                <w:spacing w:val="-4"/>
                <w:szCs w:val="21"/>
              </w:rPr>
              <w:t>(全日制)中国特色社会主义理论</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04" w:hanging="404" w:hangingChars="200"/>
              <w:rPr>
                <w:rFonts w:hint="eastAsia" w:ascii="华文中宋" w:hAnsi="华文中宋" w:eastAsia="华文中宋"/>
                <w:spacing w:val="-4"/>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520"/>
            <w:r>
              <w:rPr>
                <w:rFonts w:hint="eastAsia"/>
                <w:lang w:val="en-US" w:eastAsia="zh-CN"/>
              </w:rPr>
              <w:t>030505思想政治教育</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203 日语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③615 中国近现代史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④860 马克思主义理论综合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(全日制)思想政治教育理论与方法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(全日制)大学德育研究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(全日制)高校学生事务管理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521"/>
            <w:r>
              <w:rPr>
                <w:rFonts w:hint="eastAsia"/>
                <w:lang w:val="en-US" w:eastAsia="zh-CN"/>
              </w:rPr>
              <w:t>0305Z1党的建设</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203 日语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③615 中国近现代史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④860 马克思主义理论综合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( 201、203 选一)</w:t>
            </w: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(全日制)党建理论研究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(全日制)党建历程与经验研究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(全日制)中国共产党治国理政研究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(全日制)党务工作研究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46"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宋三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ÂËÎ">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05032EF4"/>
    <w:rsid w:val="05974DA1"/>
    <w:rsid w:val="09297FF5"/>
    <w:rsid w:val="09A50462"/>
    <w:rsid w:val="106F654F"/>
    <w:rsid w:val="1DA76511"/>
    <w:rsid w:val="23030AD0"/>
    <w:rsid w:val="33103B31"/>
    <w:rsid w:val="37A46F2A"/>
    <w:rsid w:val="3C3D7222"/>
    <w:rsid w:val="3E8333CC"/>
    <w:rsid w:val="45827289"/>
    <w:rsid w:val="527A7137"/>
    <w:rsid w:val="539709A7"/>
    <w:rsid w:val="59AF681A"/>
    <w:rsid w:val="5FF639E9"/>
    <w:rsid w:val="60911CCF"/>
    <w:rsid w:val="63745D5E"/>
    <w:rsid w:val="680B58E5"/>
    <w:rsid w:val="681173E3"/>
    <w:rsid w:val="68856135"/>
    <w:rsid w:val="692230D0"/>
    <w:rsid w:val="6C6A4959"/>
    <w:rsid w:val="6EAC391B"/>
    <w:rsid w:val="6EDC27A1"/>
    <w:rsid w:val="70975C93"/>
    <w:rsid w:val="75560F60"/>
    <w:rsid w:val="76576CB5"/>
    <w:rsid w:val="7B30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link w:val="21"/>
    <w:qFormat/>
    <w:uiPriority w:val="0"/>
    <w:pPr>
      <w:keepNext/>
      <w:keepLines/>
      <w:spacing w:line="280" w:lineRule="exact"/>
      <w:outlineLvl w:val="3"/>
    </w:pPr>
    <w:rPr>
      <w:rFonts w:ascii="华文中宋" w:hAnsi="华文中宋" w:eastAsia="黑体"/>
      <w:b/>
      <w:bCs/>
      <w:kern w:val="0"/>
      <w:sz w:val="24"/>
    </w:rPr>
  </w:style>
  <w:style w:type="character" w:default="1" w:styleId="11">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Body Text Indent"/>
    <w:basedOn w:val="1"/>
    <w:qFormat/>
    <w:uiPriority w:val="0"/>
    <w:pPr>
      <w:spacing w:after="120"/>
      <w:ind w:left="420" w:leftChars="200"/>
    </w:pPr>
    <w:rPr>
      <w:rFonts w:ascii="Times New Roman" w:hAnsi="Times New Roman"/>
      <w:kern w:val="0"/>
      <w:sz w:val="20"/>
    </w:rPr>
  </w:style>
  <w:style w:type="paragraph" w:styleId="8">
    <w:name w:val="Body Text Indent 2"/>
    <w:basedOn w:val="1"/>
    <w:qFormat/>
    <w:uiPriority w:val="0"/>
    <w:pPr>
      <w:spacing w:after="120" w:line="480" w:lineRule="auto"/>
      <w:ind w:left="420" w:leftChars="200"/>
    </w:pPr>
    <w:rPr>
      <w:rFonts w:ascii="Times New Roman" w:hAnsi="Times New Roman"/>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character" w:styleId="12">
    <w:name w:val="page number"/>
    <w:basedOn w:val="11"/>
    <w:qFormat/>
    <w:uiPriority w:val="0"/>
  </w:style>
  <w:style w:type="character" w:styleId="13">
    <w:name w:val="HTML Typewriter"/>
    <w:qFormat/>
    <w:uiPriority w:val="0"/>
    <w:rPr>
      <w:rFonts w:ascii="宋体" w:hAnsi="宋体" w:eastAsia="宋体" w:cs="宋体"/>
      <w:sz w:val="12"/>
      <w:szCs w:val="12"/>
    </w:rPr>
  </w:style>
  <w:style w:type="character" w:styleId="14">
    <w:name w:val="Hyperlink"/>
    <w:qFormat/>
    <w:uiPriority w:val="0"/>
    <w:rPr>
      <w:color w:val="0000FF"/>
      <w:u w:val="single"/>
    </w:rPr>
  </w:style>
  <w:style w:type="paragraph" w:customStyle="1" w:styleId="16">
    <w:name w:val="msolistparagraph"/>
    <w:basedOn w:val="1"/>
    <w:qFormat/>
    <w:uiPriority w:val="0"/>
    <w:pPr>
      <w:ind w:firstLine="420" w:firstLineChars="200"/>
    </w:pPr>
    <w:rPr>
      <w:rFonts w:ascii="Calibri" w:hAnsi="Calibri"/>
      <w:szCs w:val="22"/>
    </w:rPr>
  </w:style>
  <w:style w:type="paragraph" w:customStyle="1" w:styleId="17">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
    <w:name w:val="样式 首行缩进:  0 字符"/>
    <w:basedOn w:val="1"/>
    <w:next w:val="4"/>
    <w:qFormat/>
    <w:uiPriority w:val="99"/>
    <w:pPr>
      <w:spacing w:line="360" w:lineRule="auto"/>
      <w:ind w:firstLine="200" w:firstLineChars="200"/>
    </w:pPr>
    <w:rPr>
      <w:rFonts w:ascii="Calibri" w:hAnsi="Calibri"/>
      <w:sz w:val="24"/>
      <w:szCs w:val="20"/>
    </w:rPr>
  </w:style>
  <w:style w:type="paragraph" w:customStyle="1" w:styleId="20">
    <w:name w:val="List Paragraph"/>
    <w:basedOn w:val="1"/>
    <w:qFormat/>
    <w:uiPriority w:val="0"/>
    <w:pPr>
      <w:ind w:firstLine="420" w:firstLineChars="200"/>
    </w:pPr>
  </w:style>
  <w:style w:type="character" w:customStyle="1" w:styleId="21">
    <w:name w:val="标题 4 Char"/>
    <w:link w:val="6"/>
    <w:qFormat/>
    <w:uiPriority w:val="0"/>
    <w:rPr>
      <w:rFonts w:ascii="华文中宋" w:hAnsi="华文中宋" w:eastAsia="黑体"/>
      <w:b/>
      <w:bCs/>
      <w:kern w:val="0"/>
      <w:sz w:val="24"/>
    </w:rPr>
  </w:style>
  <w:style w:type="paragraph" w:customStyle="1" w:styleId="22">
    <w:name w:val="style1"/>
    <w:basedOn w:val="1"/>
    <w:qFormat/>
    <w:uiPriority w:val="0"/>
    <w:pPr>
      <w:widowControl/>
      <w:spacing w:before="60" w:after="60" w:line="360" w:lineRule="atLeast"/>
      <w:ind w:left="60" w:right="60" w:firstLine="480"/>
      <w:jc w:val="left"/>
    </w:pPr>
    <w:rPr>
      <w:rFonts w:ascii="仿宋_GB2312" w:hAnsi="宋体" w:eastAsia="仿宋_GB2312" w:cs="宋体"/>
      <w:b/>
      <w:bCs/>
      <w:color w:val="333333"/>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2018-09-25T01:22:48Z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