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3"/>
        </w:tabs>
        <w:bidi w:val="0"/>
        <w:jc w:val="center"/>
        <w:rPr>
          <w:rFonts w:ascii="Verdana" w:hAnsi="Verdana" w:eastAsia="宋体" w:cs="Verdana"/>
          <w:b/>
          <w:i w:val="0"/>
          <w:caps w:val="0"/>
          <w:color w:val="000000"/>
          <w:spacing w:val="0"/>
          <w:sz w:val="40"/>
          <w:szCs w:val="40"/>
          <w:shd w:val="clear" w:fill="FFFFFF"/>
        </w:rPr>
      </w:pPr>
      <w:r>
        <w:rPr>
          <w:rFonts w:hint="eastAsia" w:ascii="Verdana" w:hAnsi="Verdana" w:eastAsia="宋体" w:cs="Verdana"/>
          <w:b/>
          <w:i w:val="0"/>
          <w:caps w:val="0"/>
          <w:color w:val="000000"/>
          <w:spacing w:val="0"/>
          <w:sz w:val="40"/>
          <w:szCs w:val="40"/>
          <w:shd w:val="clear" w:fill="FFFFFF"/>
        </w:rPr>
        <w:t>01 哲学</w:t>
      </w:r>
    </w:p>
    <w:tbl>
      <w:tblPr>
        <w:tblW w:w="4000" w:type="pct"/>
        <w:jc w:val="center"/>
        <w:tblCellSpacing w:w="0" w:type="dxa"/>
        <w:shd w:val="clear"/>
        <w:tblLayout w:type="autofit"/>
        <w:tblCellMar>
          <w:top w:w="0" w:type="dxa"/>
          <w:left w:w="0" w:type="dxa"/>
          <w:bottom w:w="0" w:type="dxa"/>
          <w:right w:w="0" w:type="dxa"/>
        </w:tblCellMar>
      </w:tblPr>
      <w:tblGrid>
        <w:gridCol w:w="900"/>
        <w:gridCol w:w="2092"/>
        <w:gridCol w:w="630"/>
        <w:gridCol w:w="4270"/>
        <w:gridCol w:w="900"/>
        <w:gridCol w:w="2093"/>
      </w:tblGrid>
      <w:tr>
        <w:tblPrEx>
          <w:shd w:val="clear"/>
          <w:tblCellMar>
            <w:top w:w="0" w:type="dxa"/>
            <w:left w:w="0" w:type="dxa"/>
            <w:bottom w:w="0" w:type="dxa"/>
            <w:right w:w="0" w:type="dxa"/>
          </w:tblCellMar>
        </w:tblPrEx>
        <w:trPr>
          <w:trHeight w:val="390" w:hRule="atLeast"/>
          <w:tblCellSpacing w:w="0" w:type="dxa"/>
          <w:jc w:val="center"/>
        </w:trPr>
        <w:tc>
          <w:tcPr>
            <w:tcW w:w="350" w:type="pct"/>
            <w:shd w:val="clear"/>
            <w:noWrap/>
            <w:vAlign w:val="center"/>
          </w:tcPr>
          <w:p>
            <w:pPr>
              <w:keepNext w:val="0"/>
              <w:keepLines w:val="0"/>
              <w:widowControl/>
              <w:suppressLineNumbers w:val="0"/>
              <w:spacing w:before="0" w:beforeAutospacing="0" w:after="0" w:afterAutospacing="0" w:line="270" w:lineRule="atLeast"/>
              <w:ind w:left="0" w:right="0"/>
              <w:jc w:val="left"/>
              <w:rPr>
                <w:rFonts w:ascii="Verdana" w:hAnsi="Verdana" w:cs="Verdana"/>
                <w:sz w:val="18"/>
                <w:szCs w:val="18"/>
              </w:rPr>
            </w:pPr>
            <w:r>
              <w:rPr>
                <w:rFonts w:hint="default" w:ascii="Verdana" w:hAnsi="Verdana" w:eastAsia="宋体" w:cs="Verdana"/>
                <w:kern w:val="0"/>
                <w:sz w:val="18"/>
                <w:szCs w:val="18"/>
                <w:bdr w:val="none" w:color="auto" w:sz="0" w:space="0"/>
                <w:lang w:val="en-US" w:eastAsia="zh-CN" w:bidi="ar"/>
              </w:rPr>
              <w:t>单位代码：</w:t>
            </w:r>
          </w:p>
        </w:tc>
        <w:tc>
          <w:tcPr>
            <w:tcW w:w="1000" w:type="pct"/>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10574</w:t>
            </w:r>
          </w:p>
        </w:tc>
        <w:tc>
          <w:tcPr>
            <w:tcW w:w="250" w:type="pct"/>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地 址：</w:t>
            </w:r>
          </w:p>
        </w:tc>
        <w:tc>
          <w:tcPr>
            <w:tcW w:w="2000" w:type="pct"/>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中国广州</w:t>
            </w:r>
          </w:p>
        </w:tc>
        <w:tc>
          <w:tcPr>
            <w:tcW w:w="400" w:type="pct"/>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邮政编码：</w:t>
            </w:r>
          </w:p>
        </w:tc>
        <w:tc>
          <w:tcPr>
            <w:tcW w:w="1000" w:type="pct"/>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510631</w:t>
            </w:r>
          </w:p>
        </w:tc>
      </w:tr>
      <w:tr>
        <w:tblPrEx>
          <w:shd w:val="clear"/>
          <w:tblCellMar>
            <w:top w:w="0" w:type="dxa"/>
            <w:left w:w="0" w:type="dxa"/>
            <w:bottom w:w="0" w:type="dxa"/>
            <w:right w:w="0" w:type="dxa"/>
          </w:tblCellMar>
        </w:tblPrEx>
        <w:trPr>
          <w:tblCellSpacing w:w="0" w:type="dxa"/>
          <w:jc w:val="center"/>
        </w:trPr>
        <w:tc>
          <w:tcPr>
            <w:tcW w:w="0" w:type="auto"/>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联系部门：</w:t>
            </w:r>
          </w:p>
        </w:tc>
        <w:tc>
          <w:tcPr>
            <w:tcW w:w="0" w:type="auto"/>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招生考试处</w:t>
            </w:r>
          </w:p>
        </w:tc>
        <w:tc>
          <w:tcPr>
            <w:tcW w:w="0" w:type="auto"/>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电 话：</w:t>
            </w:r>
          </w:p>
        </w:tc>
        <w:tc>
          <w:tcPr>
            <w:tcW w:w="0" w:type="auto"/>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020-85213863</w:t>
            </w:r>
          </w:p>
        </w:tc>
        <w:tc>
          <w:tcPr>
            <w:tcW w:w="0" w:type="auto"/>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联 系 人：</w:t>
            </w:r>
          </w:p>
        </w:tc>
        <w:tc>
          <w:tcPr>
            <w:tcW w:w="0" w:type="auto"/>
            <w:shd w:val="clear"/>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招生考试处</w:t>
            </w:r>
          </w:p>
        </w:tc>
      </w:tr>
    </w:tbl>
    <w:p>
      <w:pPr>
        <w:rPr>
          <w:vanish/>
          <w:sz w:val="24"/>
          <w:szCs w:val="24"/>
        </w:rPr>
      </w:pPr>
    </w:p>
    <w:tbl>
      <w:tblPr>
        <w:tblW w:w="13785"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010101</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马克思主义哲学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马克思主义哲学专业学科是哲学的二级学科，本学科包括马克思主义哲学的理论、历史和应用三个方面。根据现有条件，设四个个培养方向：马克思主义人学、政治哲学、道德哲学、发展哲学。要求研究生系统地掌握马克思主义唯物论、辩证法、认识论、价值论、道德论、历史观、宗教论等的基本观点、基本立场和基本方法，培养其独立地分析问题和解决问题的能力。</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马克思主义人学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政治哲学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道德哲学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发展哲学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bookmarkStart w:id="0" w:name="_GoBack"/>
            <w:bookmarkEnd w:id="0"/>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中国哲学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培养坚持正确的政治方向、德智体美全面发展、既有扎实的中国哲学与中国文化功夫，又有宽阔的知识面的一专多能的人才，毕业以后再高等院校、中等学校、新闻出版、政府机关等地方从事专业技术工作或行政管理工作。</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中国古代哲学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经典与解释</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佛学与宗教</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中国古代政治及管理思想</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010103</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外国哲学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华南师范大学外国哲学硕士专业有着二十多年的招生历史，师资力量雄厚，以研究德国古典哲学、法国现当代哲学、西方政治哲学、英美分析哲学见长。外国哲学专业研究生的培养强调本专业基础理论和专业知识的学习与训练，培养德智体美全面发展、身心健康的从事外国哲学教学-研究、行政管理工作、文化决策-管理-咨询、教育管理、报社杂志社出版社编辑、新闻媒介评论等工作的高级专门人才。</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西方哲学史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现代西方哲学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法国哲学与现象学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中西哲学比较</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本专业拟招推免生1名，不招同等学力。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德国古典哲学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德国现代哲学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010104</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逻辑学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下设形式逻辑与逻辑哲学、语言逻辑、法律逻辑和决策逻辑四个研究方向，旨在培养具有较高哲学理论素养，较宽厚逻辑学功底的理论人才、学术人才以及实际工作领域人才。本专业导师有比较广阔的专业背景，有丰富的实际工作经验和教学经验。本专业学生主要学习逻辑学、哲学等方面的基本理论和基础知识，受到公理化方法、形式化方法和语义分析方面的基本训练，比较系统地掌握逻辑学专业的基础知识、专业知识以及马克思主义哲学的基本理论和方法，了解当代世界主要逻辑和哲学思潮，具有一定的社会科学、自然科学和思维科学的基础知识，有较强的理论思维能力、社会活动能力、表达能力和专业研究的基本能力。</w:t>
            </w:r>
          </w:p>
        </w:tc>
      </w:tr>
      <w:tr>
        <w:tblPrEx>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形式逻辑与逻辑哲学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语言逻辑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法律逻辑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决策逻辑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010105</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伦理学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 xml:space="preserve">   着力于培养学生拥有广博扎实的哲学社会科学功底，具有良好的公民意识和社会责任感，掌握系统的伦理学及相关学科专业知识，了解伦理学发展的前沿动态，具有较高的研究能力和较强的适应能力，能独立从事伦理学、哲学和思想政治教育的大专院校教学科研、中小学教学以及公务员系统、新闻出版和各大企事业单位的行政管理和理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 xml:space="preserve">    下设伦理学基础理论研究、实践（应用）伦理学研究、中国伦理思想研究、西方伦理思想研究、中西伦理思想比较研究和当代中国道德建设研究等6个研究方向。在哲学二级学科中具有综合性强、交叉性明显、实践性突出、培养口径宽广、适应面宽泛等特点，课程和研究方向涵盖中西、兼具理论和实践，国际学术意识和本土根基相结合，学科发展方向明确，建设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师资队伍学术背景优良、实力雄厚。现有教授3人，讲师2人，4人具有博士学位，多毕业于北大、清华等国内名校，曾到哈佛大学等世界名校访问交流，学术声誉和社会影响良好。自2000年获得硕士学位授予权以来已招收硕士生120多人（含外国留学生1人），毕业后不少学生考入国内外名校继续深造，其余大部分学生毕业之后都顺利参加工作，逐渐成长为高等院校和中学的骨干教师以及各级企事业单位骨干人员。</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伦理学基础理论研究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西方伦理学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中国伦理学史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中外伦理思想比较研究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实践伦理学研究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当代中国道德建设</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(038)科学技术与社会研究院</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联系电话020-39310373|联系人:吴老师，梁老师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010108</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科学技术哲学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系统科学哲学与系统管理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01-05方向总共拟招生14名，其中含拟招推免生3名。不招同等学力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科学哲学与技术哲学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01-05方向总共拟招生14名，其中含拟招推免生3名。不招同等学力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科技创新与绿色发展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01-05方向总共拟招生14名，其中含拟招推免生3名。不招同等学力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科技伦理与决策</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01-05方向总共拟招生14名，其中含拟招推免生3名。不招同等学力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生态学哲学与可持续发展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03801  科学哲学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01-05方向总共拟招生14名，其中含拟招推免生3名。不招同等学力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010106</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美学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文艺美学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西方美学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马克思主义美学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839  文学理论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bl>
          <w:p>
            <w:pPr>
              <w:jc w:val="left"/>
              <w:rPr>
                <w:rFonts w:hint="default" w:ascii="Verdana" w:hAnsi="Verdana" w:cs="Verdana"/>
                <w:caps w:val="0"/>
                <w:spacing w:val="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sectPr>
      <w:pgSz w:w="14740"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662"/>
    <w:rsid w:val="203E407E"/>
    <w:rsid w:val="268C2705"/>
    <w:rsid w:val="30D00D2E"/>
    <w:rsid w:val="56254662"/>
    <w:rsid w:val="6C6F5313"/>
    <w:rsid w:val="7F0C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2019-09-18T01:31:00Z</dcterms:created>
  <dc:creator>Asoul</dc:creator>
  <cp:lastModifiedBy>Asoul</cp:lastModifiedBy>
  <dcterms:modified xsi:type="dcterms:W3CDTF">2020-09-23T07:37:26Z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