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华</w:t>
      </w:r>
      <w:bookmarkStart w:id="0" w:name="_GoBack"/>
      <w:bookmarkEnd w:id="0"/>
      <w:r>
        <w:rPr>
          <w:lang w:val="en-US" w:eastAsia="zh-CN"/>
        </w:rPr>
        <w:t>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《建筑物理(含声、光、热)（806）》考试大纲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2"/>
        <w:gridCol w:w="2061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笔试，180分钟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总分150分。其中，建筑声学50分，建筑热工学50分，建筑光学50分。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建筑与环境声学的基础知识、基本原理和设计方法。建筑采光、人工照明、建筑光学基础知识等相关内容。建筑热工学的基础知识、建筑室内热环境、建筑气候、建筑保温、防潮、防热设计基本原理、原则和设计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《建筑物理》华南理工大学主编,华南理工大学出版社2002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《公共建筑节能设计标准》GB 50189-2015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《夏热冬暖地区居住建筑节能设计标准》JGJ 75-2012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《民用建筑热工设计规范》GB 50176-2016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2647EB4"/>
    <w:rsid w:val="22772874"/>
    <w:rsid w:val="4C4958ED"/>
    <w:rsid w:val="74693D3D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FE6333C9BD4848F59FA9B7329FE40DDF</vt:lpwstr>
  </property>
</Properties>
</file>