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</w:t>
      </w:r>
      <w:bookmarkStart w:id="0" w:name="_GoBack"/>
      <w:bookmarkEnd w:id="0"/>
      <w:r>
        <w:rPr>
          <w:lang w:val="en-US" w:eastAsia="zh-CN"/>
        </w:rPr>
        <w:t>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《经济学、公司财务管理(各占50％)（950）》考试大纲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3960"/>
        <w:gridCol w:w="2066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均衡价格理论、消费者行为理论、生产者行为理论（包括生产理论、成本理论和市场均衡理论）、一般均衡理论与福利经济学、市场失灵与微观经济政策、国民收入决定理论、货币理论、失业与通货膨胀理论、经济周期理论、经济增长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《财务管理》：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管理基本原理；财务报表分析和财务预测；价值评估基础；资本成本；投资项目资本预算；债券、股票价值评估；期权价值评估；企业价值评估；资本结构；长期筹资；营运资本管理；本量利分析；短期经营决策；业绩评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简答题（30-50分）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计算题（30-50）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综合论述与分析题（20-40分）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《经济学原理》（第7版），作者:（美）曼昆　著，梁小民，梁砾 译，北京大学出版社；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《财务成本管理》，2021年度注册会计师全国统一考试辅导教材，中国财政经济出版社。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8FCB13D2A669425184BD1941211DF558</vt:lpwstr>
  </property>
</Properties>
</file>