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b w:val="0"/>
          <w:bCs/>
          <w:sz w:val="20"/>
          <w:szCs w:val="20"/>
        </w:rPr>
      </w:pPr>
      <w:bookmarkStart w:id="0" w:name="_GoBack"/>
      <w:r>
        <w:rPr>
          <w:rFonts w:hint="eastAsia" w:ascii="宋体" w:hAnsi="宋体"/>
          <w:b w:val="0"/>
          <w:bCs/>
          <w:sz w:val="20"/>
          <w:szCs w:val="20"/>
        </w:rPr>
        <w:t>考试科目：8</w:t>
      </w:r>
      <w:r>
        <w:rPr>
          <w:rFonts w:hint="eastAsia" w:ascii="宋体" w:hAnsi="宋体"/>
          <w:b w:val="0"/>
          <w:bCs/>
          <w:sz w:val="20"/>
          <w:szCs w:val="20"/>
          <w:lang w:val="en-US" w:eastAsia="zh-CN"/>
        </w:rPr>
        <w:t>95</w:t>
      </w:r>
      <w:r>
        <w:rPr>
          <w:rFonts w:hint="eastAsia" w:ascii="宋体" w:hAnsi="宋体"/>
          <w:b w:val="0"/>
          <w:bCs/>
          <w:sz w:val="20"/>
          <w:szCs w:val="20"/>
        </w:rPr>
        <w:t>现代经济学</w:t>
      </w:r>
    </w:p>
    <w:bookmarkEnd w:id="0"/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</w:trPr>
        <w:tc>
          <w:tcPr>
            <w:tcW w:w="8522" w:type="dxa"/>
            <w:vAlign w:val="top"/>
          </w:tcPr>
          <w:p>
            <w:pPr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一、复习要求：</w:t>
            </w:r>
          </w:p>
          <w:p>
            <w:pPr>
              <w:ind w:firstLine="400" w:firstLineChars="200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要求考生熟悉微观和宏观经济学的重要概念（可参考指定考试用书每章后的“基本概念”），基本原理，重要变量关系的数学计算，以及利用基本原理对现实问题的分析。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8522" w:type="dxa"/>
            <w:vAlign w:val="top"/>
          </w:tcPr>
          <w:p>
            <w:pPr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二、主要复习内容：</w:t>
            </w:r>
          </w:p>
          <w:p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（一）市场机制基本原理及其应用</w:t>
            </w:r>
          </w:p>
          <w:p>
            <w:pPr>
              <w:ind w:firstLine="400" w:firstLineChars="200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主要内容：需求函数、均衡价格、需求弹性；供求原理和弹性原理的应用。</w:t>
            </w:r>
          </w:p>
          <w:p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（二）消费者和生产者行为的理论</w:t>
            </w:r>
          </w:p>
          <w:p>
            <w:pPr>
              <w:ind w:firstLine="400" w:firstLineChars="200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主要内容：消费者偏好、预算约束和最优选择；消费者最优选择的变化。生产函数、成本函数和竞争市场供给的决定。</w:t>
            </w:r>
          </w:p>
          <w:p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（三）市场结构经济学</w:t>
            </w:r>
          </w:p>
          <w:p>
            <w:pPr>
              <w:ind w:firstLine="400" w:firstLineChars="200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主要内容：市场结构的定义和衡量。垄断厂商均衡的决定和垄断的社会成本。垄断竞争厂商的产量决策。寡头垄断厂商的行为特征和竞争策略。</w:t>
            </w:r>
          </w:p>
          <w:p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（四）生产要素市场原理</w:t>
            </w:r>
          </w:p>
          <w:p>
            <w:pPr>
              <w:ind w:firstLine="400" w:firstLineChars="200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主要内容：要素市场的供求关系决定。要素价格与收入分配。劳动市场的工资差别和歧视。资本市场的供求决定。</w:t>
            </w:r>
          </w:p>
          <w:p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（五）公共问题经济学</w:t>
            </w:r>
          </w:p>
          <w:p>
            <w:pPr>
              <w:ind w:firstLine="400" w:firstLineChars="200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主要内容：外部性的含义和类型；外部性与市场效率的关系；解决外部性的方法。公共物品的特征及其与市场效率的关系；税收的经济分析。</w:t>
            </w:r>
          </w:p>
          <w:p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（六）信息经济学</w:t>
            </w:r>
          </w:p>
          <w:p>
            <w:pPr>
              <w:ind w:firstLine="400" w:firstLineChars="200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主要内容：逆向选择与信号甄别、信号传递；道德风险与激励机制设计。</w:t>
            </w:r>
          </w:p>
          <w:p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（七）宏观经济的衡量和分析</w:t>
            </w:r>
          </w:p>
          <w:p>
            <w:pPr>
              <w:ind w:firstLine="400" w:firstLineChars="200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主要内容：衡量宏观经济水平的GDP和CPI两大指标。宏观经济分析微观基础。</w:t>
            </w:r>
          </w:p>
          <w:p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（八）长期的宏观经济</w:t>
            </w:r>
          </w:p>
          <w:p>
            <w:pPr>
              <w:ind w:firstLine="400" w:firstLineChars="200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主要内容：古典宏观经济模型。经济增长源泉；主要的经济增长分析模型；经济增长政策。</w:t>
            </w:r>
          </w:p>
          <w:p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（九）短期的宏观经济</w:t>
            </w:r>
          </w:p>
          <w:p>
            <w:pPr>
              <w:ind w:firstLine="400" w:firstLineChars="200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主要内容：短期均衡国民收入决定和乘数原理；货币供求与利率；IS－LM模型及其应用；AD－AS模型及其应用；失业和通货膨胀理论；短期和长期菲利浦斯曲线。</w:t>
            </w:r>
          </w:p>
          <w:p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（十）开放的宏观经济</w:t>
            </w:r>
          </w:p>
          <w:p>
            <w:pPr>
              <w:ind w:firstLine="400" w:firstLineChars="200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主要内容：汇率及其决定；进口函数、贸易乘数和收入均衡；可贷资金市场和外汇市场的同时均衡；IS－LM－BP模型的决定。</w:t>
            </w:r>
          </w:p>
          <w:p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（十一）宏观经济政策原理</w:t>
            </w:r>
          </w:p>
          <w:p>
            <w:pPr>
              <w:ind w:firstLine="400" w:firstLineChars="200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主要内容：稳定性政策的机制；财政和货币政策；不同汇率制度下的财政和货币政策效应。</w:t>
            </w:r>
          </w:p>
        </w:tc>
      </w:tr>
    </w:tbl>
    <w:p>
      <w:pPr>
        <w:rPr>
          <w:rFonts w:hint="eastAsia" w:ascii="宋体" w:hAnsi="宋体"/>
          <w:sz w:val="20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ECA"/>
    <w:rsid w:val="00080C20"/>
    <w:rsid w:val="00083485"/>
    <w:rsid w:val="001737B4"/>
    <w:rsid w:val="002C1E0F"/>
    <w:rsid w:val="002E6ECA"/>
    <w:rsid w:val="00343828"/>
    <w:rsid w:val="003B036C"/>
    <w:rsid w:val="003C2CCB"/>
    <w:rsid w:val="004268EA"/>
    <w:rsid w:val="004A7383"/>
    <w:rsid w:val="005871CF"/>
    <w:rsid w:val="00671307"/>
    <w:rsid w:val="00683DF9"/>
    <w:rsid w:val="00751936"/>
    <w:rsid w:val="00790CEB"/>
    <w:rsid w:val="00940B7E"/>
    <w:rsid w:val="00941CAB"/>
    <w:rsid w:val="009A0AF2"/>
    <w:rsid w:val="00A002EE"/>
    <w:rsid w:val="00B56FE5"/>
    <w:rsid w:val="00C113F8"/>
    <w:rsid w:val="00C43933"/>
    <w:rsid w:val="00C75789"/>
    <w:rsid w:val="00DC7A53"/>
    <w:rsid w:val="00DE2CA4"/>
    <w:rsid w:val="00E2577B"/>
    <w:rsid w:val="00EB0529"/>
    <w:rsid w:val="00F406B1"/>
    <w:rsid w:val="00F83E03"/>
    <w:rsid w:val="245E2934"/>
    <w:rsid w:val="38E62118"/>
    <w:rsid w:val="573E35D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上海大学</Company>
  <Pages>1</Pages>
  <Words>121</Words>
  <Characters>691</Characters>
  <Lines>5</Lines>
  <Paragraphs>1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2015-06-17T06:12:00Z</dcterms:created>
  <dc:creator>上海大学</dc:creator>
  <cp:lastModifiedBy>Administrator</cp:lastModifiedBy>
  <dcterms:modified xsi:type="dcterms:W3CDTF">2016-07-08T03:08:57Z</dcterms:modified>
  <dc:title>考试科目：890现代经济学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