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</w:t>
      </w:r>
      <w:bookmarkStart w:id="0" w:name="_GoBack"/>
      <w:bookmarkEnd w:id="0"/>
      <w:r>
        <w:rPr>
          <w:lang w:val="en-US" w:eastAsia="zh-CN"/>
        </w:rPr>
        <w:t>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《财会综合（会计学、财务成本管理各占50%）（949）》考试大纲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1"/>
        <w:gridCol w:w="3931"/>
        <w:gridCol w:w="208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《财务会计学》：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会计总论；货币资金；存货；金融资产；长期股权投资；固定资产；无形资产与投资性房地产；流动负债；非流动负债；所有者权益；收入、费用与利润；财务报表；资产负债表日后事项；会计变更与差错更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管理基本原理；财务报表分析和财务预测；价值评估基础；资本成本；投资项目资本预算；债券、股票价值评估；期权价值评估；企业价值评估；资本结构；股利分配、股票分割与股票回购；长期筹资；营运资本管理；产品成本计算；标准成本法；作业成本法；本量利分析；短期经营决策；全面预算；责任会计；业绩评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单项选择题 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多项选择题（10-20分）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简答题（30-50分）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分录与计算分析题（20-40分）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《财务会计学》（第12版），戴德明、林钢、赵西卜著，中国人民大学出版社，2019年8月；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《财务成本管理》，2021年度注册会计师全国统一考试辅导教材，中国财政经济出版社。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E4D78E2"/>
    <w:rsid w:val="5F7A7456"/>
    <w:rsid w:val="607A5BAE"/>
    <w:rsid w:val="61DA34B6"/>
    <w:rsid w:val="636C4A02"/>
    <w:rsid w:val="64863363"/>
    <w:rsid w:val="678C3F24"/>
    <w:rsid w:val="68C4175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0674EC87EDF8402B9274493E0EB2368E</vt:lpwstr>
  </property>
</Properties>
</file>