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5F" w:rsidRPr="00331F6E" w:rsidRDefault="00BB760C" w:rsidP="00331F6E">
      <w:pPr>
        <w:adjustRightInd w:val="0"/>
        <w:snapToGrid w:val="0"/>
        <w:jc w:val="center"/>
        <w:rPr>
          <w:rFonts w:ascii="黑体" w:eastAsia="黑体" w:hAnsi="黑体"/>
          <w:color w:val="000000"/>
          <w:sz w:val="36"/>
          <w:szCs w:val="36"/>
        </w:rPr>
      </w:pPr>
      <w:r>
        <w:rPr>
          <w:rFonts w:ascii="黑体" w:eastAsia="黑体" w:hAnsi="黑体" w:hint="eastAsia"/>
          <w:color w:val="000000"/>
          <w:sz w:val="36"/>
          <w:szCs w:val="36"/>
        </w:rPr>
        <w:t>财政学</w:t>
      </w:r>
      <w:r w:rsidR="00331F6E">
        <w:rPr>
          <w:rFonts w:ascii="黑体" w:eastAsia="黑体" w:hAnsi="黑体" w:hint="eastAsia"/>
          <w:color w:val="000000"/>
          <w:sz w:val="36"/>
          <w:szCs w:val="36"/>
        </w:rPr>
        <w:t xml:space="preserve">  </w:t>
      </w:r>
      <w:r>
        <w:rPr>
          <w:rFonts w:ascii="黑体" w:eastAsia="黑体" w:hAnsi="黑体" w:hint="eastAsia"/>
          <w:color w:val="000000"/>
          <w:sz w:val="36"/>
          <w:szCs w:val="36"/>
        </w:rPr>
        <w:t>020203</w:t>
      </w:r>
    </w:p>
    <w:p w:rsidR="008F165F" w:rsidRDefault="00BB760C" w:rsidP="00331F6E">
      <w:pPr>
        <w:adjustRightInd w:val="0"/>
        <w:snapToGrid w:val="0"/>
        <w:spacing w:line="400" w:lineRule="exact"/>
        <w:rPr>
          <w:rFonts w:ascii="宋体" w:hAnsi="宋体"/>
          <w:color w:val="000000"/>
          <w:sz w:val="24"/>
        </w:rPr>
      </w:pPr>
      <w:r>
        <w:rPr>
          <w:rFonts w:ascii="宋体" w:hAnsi="宋体" w:hint="eastAsia"/>
          <w:b/>
          <w:color w:val="000000"/>
          <w:sz w:val="24"/>
          <w:szCs w:val="20"/>
        </w:rPr>
        <w:t>学科点简介:</w:t>
      </w:r>
      <w:r>
        <w:rPr>
          <w:rFonts w:ascii="宋体" w:hAnsi="宋体" w:hint="eastAsia"/>
          <w:color w:val="000000"/>
          <w:sz w:val="24"/>
        </w:rPr>
        <w:t xml:space="preserve"> </w:t>
      </w:r>
      <w:bookmarkStart w:id="0" w:name="_Hlk485974782"/>
      <w:r>
        <w:rPr>
          <w:rFonts w:ascii="宋体" w:hAnsi="宋体" w:hint="eastAsia"/>
          <w:color w:val="000000"/>
          <w:sz w:val="24"/>
        </w:rPr>
        <w:t>本学科点是广东财经大学省级优势重点学科应用经济学的重要组成部分，其中财政学（含税收学）专业为国家级特色专业、广东省名牌专业和广东省一流专业建设点。本学科点拥有广东省普通高校人文社科重点研究基地“广东地方公共财政研究中心”、广东省重点实验室“广东省财税大数据重点实验室”、广东省协同育人平台“税收学专业协同育人基地”及与广州市税务局共建的国家级大学生实践教学基地等多个高层次平台。现有教授11人，副教授21，其中，国务院特殊津贴专家1 人，博士生导师2人，硕士生导师23人，客座教授21人。近3年学院教师承担各类科研项目1</w:t>
      </w:r>
      <w:r>
        <w:rPr>
          <w:rFonts w:ascii="宋体" w:hAnsi="宋体" w:cs="宋体" w:hint="eastAsia"/>
          <w:color w:val="000000"/>
          <w:sz w:val="24"/>
          <w:szCs w:val="20"/>
        </w:rPr>
        <w:t>07项，其中国家级和省部级项目15项，各类科研经费1036万元，出版专著、教材、编著7部，在《经济研究》等国内外核心刊物发表学术论文81篇，获省部级科研奖励2人次，获省部级以上批示5人次。近3年，财政学学术硕士毕业生中约有80%进入珠三角地区金融机构、国企、外企、知名事务所和机关事业单位工作。</w:t>
      </w:r>
      <w:r>
        <w:rPr>
          <w:rFonts w:ascii="宋体" w:hAnsi="宋体" w:hint="eastAsia"/>
          <w:color w:val="000000"/>
          <w:sz w:val="24"/>
        </w:rPr>
        <w:t>毕业生中涌现出全国十大杰出青年卫士、国家二级英模、国家级及省级税收征管能手、税务系统先进工作者等工作骨干以及知名企业家等一大批杰出校友。</w:t>
      </w:r>
      <w:bookmarkEnd w:id="0"/>
    </w:p>
    <w:p w:rsidR="008F165F" w:rsidRPr="00331F6E" w:rsidRDefault="00BB760C" w:rsidP="00331F6E">
      <w:pPr>
        <w:snapToGrid w:val="0"/>
        <w:spacing w:line="400" w:lineRule="exact"/>
        <w:rPr>
          <w:rFonts w:ascii="宋体" w:hAnsi="宋体"/>
          <w:color w:val="000000"/>
          <w:sz w:val="24"/>
        </w:rPr>
      </w:pPr>
      <w:r>
        <w:rPr>
          <w:rFonts w:ascii="宋体" w:hAnsi="宋体" w:hint="eastAsia"/>
          <w:b/>
          <w:color w:val="000000"/>
          <w:sz w:val="24"/>
        </w:rPr>
        <w:t>培养目标：</w:t>
      </w:r>
      <w:r w:rsidRPr="00331F6E">
        <w:rPr>
          <w:rFonts w:ascii="宋体" w:hAnsi="宋体" w:hint="eastAsia"/>
          <w:color w:val="000000"/>
          <w:sz w:val="24"/>
        </w:rPr>
        <w:t>本学科点致力于培养具有良好的政治觉悟、优秀的道德品质、扎实的经济学基础、较强的财税理论和实务能力，熟练掌握本学科研究方法，能够在党政部门和企事业单位承担财税领域的研究、教学等相关工作的高层次人才。</w:t>
      </w:r>
    </w:p>
    <w:p w:rsidR="008F165F" w:rsidRDefault="00BB760C" w:rsidP="00331F6E">
      <w:pPr>
        <w:spacing w:line="400" w:lineRule="exact"/>
        <w:rPr>
          <w:rFonts w:ascii="宋体" w:hAnsi="宋体"/>
          <w:sz w:val="24"/>
        </w:rPr>
      </w:pPr>
      <w:r>
        <w:rPr>
          <w:rFonts w:ascii="宋体" w:hAnsi="宋体" w:hint="eastAsia"/>
          <w:b/>
          <w:color w:val="000000"/>
          <w:sz w:val="24"/>
        </w:rPr>
        <w:t>主要课程：</w:t>
      </w:r>
      <w:r>
        <w:rPr>
          <w:rFonts w:ascii="仿宋_GB2312" w:eastAsia="仿宋_GB2312" w:hint="eastAsia"/>
          <w:color w:val="000000"/>
          <w:szCs w:val="21"/>
        </w:rPr>
        <w:t xml:space="preserve"> </w:t>
      </w:r>
      <w:r>
        <w:rPr>
          <w:rFonts w:ascii="宋体" w:hAnsi="宋体" w:hint="eastAsia"/>
          <w:sz w:val="24"/>
        </w:rPr>
        <w:t>中级微观经济学、中级宏观经济学、计量经济学、公共财政学、税收经济学、政府预算与会计管理、财政政策与实务、税收政策与实务、财税管理信息系统、西方财税理论与制度（双语）、税收制度研究、税收管理与税收筹划、国际税收专题、财税应用系统的开发与设计等。</w:t>
      </w:r>
    </w:p>
    <w:p w:rsidR="008F165F" w:rsidRDefault="00BB760C">
      <w:pPr>
        <w:spacing w:line="400" w:lineRule="exact"/>
        <w:rPr>
          <w:rFonts w:ascii="宋体" w:hAnsi="宋体"/>
          <w:color w:val="000000"/>
          <w:sz w:val="24"/>
        </w:rPr>
      </w:pPr>
      <w:r>
        <w:rPr>
          <w:rFonts w:ascii="宋体" w:hAnsi="宋体" w:hint="eastAsia"/>
          <w:b/>
          <w:color w:val="000000"/>
          <w:sz w:val="24"/>
        </w:rPr>
        <w:t>就业方向：</w:t>
      </w:r>
      <w:r>
        <w:rPr>
          <w:rFonts w:ascii="宋体" w:hAnsi="宋体" w:hint="eastAsia"/>
          <w:color w:val="000000"/>
          <w:sz w:val="24"/>
        </w:rPr>
        <w:t>毕业生就业领域主要为财政、税务机关等党政</w:t>
      </w:r>
      <w:r>
        <w:rPr>
          <w:rFonts w:ascii="宋体" w:hAnsi="宋体"/>
          <w:color w:val="000000"/>
          <w:sz w:val="24"/>
        </w:rPr>
        <w:t>经济管理部门</w:t>
      </w:r>
      <w:r>
        <w:rPr>
          <w:rFonts w:ascii="宋体" w:hAnsi="宋体" w:hint="eastAsia"/>
          <w:color w:val="000000"/>
          <w:sz w:val="24"/>
        </w:rPr>
        <w:t>，科研单位、高等院校、中介机构、金融部门等各类企事业单位，还可以报考相关专业的博士研究生，继续求学深造。</w:t>
      </w:r>
    </w:p>
    <w:p w:rsidR="008F165F" w:rsidRDefault="00BB760C">
      <w:pPr>
        <w:spacing w:line="400" w:lineRule="exact"/>
        <w:rPr>
          <w:rFonts w:ascii="宋体" w:hAnsi="宋体"/>
          <w:b/>
          <w:color w:val="000000"/>
          <w:sz w:val="24"/>
        </w:rPr>
      </w:pPr>
      <w:r>
        <w:rPr>
          <w:rFonts w:ascii="宋体" w:hAnsi="宋体" w:hint="eastAsia"/>
          <w:b/>
          <w:color w:val="000000"/>
          <w:sz w:val="24"/>
        </w:rPr>
        <w:t>专业代码：020203</w:t>
      </w:r>
      <w:r>
        <w:rPr>
          <w:rFonts w:ascii="宋体" w:hAnsi="宋体"/>
          <w:b/>
          <w:color w:val="000000"/>
          <w:sz w:val="24"/>
        </w:rPr>
        <w:t xml:space="preserve">    </w:t>
      </w:r>
      <w:r>
        <w:rPr>
          <w:rFonts w:ascii="宋体" w:hAnsi="宋体" w:hint="eastAsia"/>
          <w:b/>
          <w:color w:val="000000"/>
          <w:sz w:val="24"/>
        </w:rPr>
        <w:t xml:space="preserve">         咨询电话： 020-84096884</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3119"/>
        <w:gridCol w:w="1984"/>
      </w:tblGrid>
      <w:tr w:rsidR="008F165F" w:rsidTr="005B1280">
        <w:trPr>
          <w:trHeight w:val="657"/>
        </w:trPr>
        <w:tc>
          <w:tcPr>
            <w:tcW w:w="709" w:type="dxa"/>
            <w:vAlign w:val="center"/>
          </w:tcPr>
          <w:p w:rsidR="008F165F" w:rsidRDefault="00BB760C">
            <w:pPr>
              <w:jc w:val="center"/>
              <w:rPr>
                <w:rFonts w:ascii="宋体" w:hAnsi="宋体"/>
                <w:b/>
              </w:rPr>
            </w:pPr>
            <w:r>
              <w:rPr>
                <w:rFonts w:ascii="宋体" w:hAnsi="宋体" w:hint="eastAsia"/>
                <w:b/>
              </w:rPr>
              <w:t>序号</w:t>
            </w:r>
          </w:p>
        </w:tc>
        <w:tc>
          <w:tcPr>
            <w:tcW w:w="2268" w:type="dxa"/>
            <w:vAlign w:val="center"/>
          </w:tcPr>
          <w:p w:rsidR="008F165F" w:rsidRDefault="00BB760C">
            <w:pPr>
              <w:jc w:val="center"/>
              <w:rPr>
                <w:rFonts w:ascii="宋体" w:hAnsi="宋体"/>
                <w:b/>
              </w:rPr>
            </w:pPr>
            <w:r>
              <w:rPr>
                <w:rFonts w:ascii="宋体" w:hAnsi="宋体" w:hint="eastAsia"/>
                <w:b/>
              </w:rPr>
              <w:t>研究方向</w:t>
            </w:r>
            <w:bookmarkStart w:id="1" w:name="_GoBack"/>
            <w:bookmarkEnd w:id="1"/>
          </w:p>
        </w:tc>
        <w:tc>
          <w:tcPr>
            <w:tcW w:w="3119" w:type="dxa"/>
            <w:vAlign w:val="center"/>
          </w:tcPr>
          <w:p w:rsidR="008F165F" w:rsidRDefault="00BB760C">
            <w:pPr>
              <w:jc w:val="center"/>
              <w:rPr>
                <w:rFonts w:ascii="宋体" w:hAnsi="宋体"/>
                <w:b/>
                <w:szCs w:val="21"/>
              </w:rPr>
            </w:pPr>
            <w:r>
              <w:rPr>
                <w:rFonts w:ascii="宋体" w:hAnsi="宋体" w:hint="eastAsia"/>
                <w:b/>
                <w:szCs w:val="21"/>
              </w:rPr>
              <w:t>初试科目</w:t>
            </w:r>
          </w:p>
        </w:tc>
        <w:tc>
          <w:tcPr>
            <w:tcW w:w="1984" w:type="dxa"/>
            <w:vAlign w:val="center"/>
          </w:tcPr>
          <w:p w:rsidR="008F165F" w:rsidRDefault="00BB760C">
            <w:pPr>
              <w:jc w:val="center"/>
              <w:rPr>
                <w:rFonts w:ascii="宋体" w:hAnsi="宋体"/>
                <w:b/>
              </w:rPr>
            </w:pPr>
            <w:r>
              <w:rPr>
                <w:rFonts w:ascii="宋体" w:hAnsi="宋体" w:hint="eastAsia"/>
                <w:b/>
              </w:rPr>
              <w:t>复试科目</w:t>
            </w:r>
          </w:p>
        </w:tc>
      </w:tr>
      <w:tr w:rsidR="008F165F" w:rsidRPr="005B1280" w:rsidTr="005B1280">
        <w:trPr>
          <w:cantSplit/>
          <w:trHeight w:val="657"/>
        </w:trPr>
        <w:tc>
          <w:tcPr>
            <w:tcW w:w="709" w:type="dxa"/>
            <w:vAlign w:val="center"/>
          </w:tcPr>
          <w:p w:rsidR="008F165F" w:rsidRPr="005B1280" w:rsidRDefault="00BB760C" w:rsidP="005B1280">
            <w:pPr>
              <w:adjustRightInd w:val="0"/>
              <w:snapToGrid w:val="0"/>
              <w:rPr>
                <w:rFonts w:ascii="宋体" w:hAnsi="宋体" w:cs="宋体"/>
                <w:color w:val="000000"/>
                <w:sz w:val="24"/>
              </w:rPr>
            </w:pPr>
            <w:r w:rsidRPr="005B1280">
              <w:rPr>
                <w:rFonts w:ascii="宋体" w:hAnsi="宋体" w:cs="宋体" w:hint="eastAsia"/>
                <w:color w:val="000000"/>
                <w:sz w:val="24"/>
              </w:rPr>
              <w:t>1</w:t>
            </w:r>
          </w:p>
        </w:tc>
        <w:tc>
          <w:tcPr>
            <w:tcW w:w="2268" w:type="dxa"/>
            <w:vAlign w:val="center"/>
          </w:tcPr>
          <w:p w:rsidR="008F165F" w:rsidRPr="005B1280" w:rsidRDefault="00BB760C" w:rsidP="005B1280">
            <w:pPr>
              <w:adjustRightInd w:val="0"/>
              <w:snapToGrid w:val="0"/>
              <w:rPr>
                <w:rFonts w:ascii="宋体" w:hAnsi="宋体" w:cs="宋体"/>
                <w:color w:val="000000"/>
                <w:sz w:val="24"/>
              </w:rPr>
            </w:pPr>
            <w:r w:rsidRPr="005B1280">
              <w:rPr>
                <w:rFonts w:ascii="宋体" w:hAnsi="宋体" w:cs="宋体" w:hint="eastAsia"/>
                <w:color w:val="000000"/>
                <w:sz w:val="24"/>
              </w:rPr>
              <w:t>税收理论与政策</w:t>
            </w:r>
          </w:p>
        </w:tc>
        <w:tc>
          <w:tcPr>
            <w:tcW w:w="3119" w:type="dxa"/>
            <w:vMerge w:val="restart"/>
            <w:vAlign w:val="center"/>
          </w:tcPr>
          <w:p w:rsidR="008F165F" w:rsidRDefault="00BB760C" w:rsidP="005B1280">
            <w:pPr>
              <w:adjustRightInd w:val="0"/>
              <w:snapToGrid w:val="0"/>
              <w:rPr>
                <w:rFonts w:ascii="宋体" w:hAnsi="宋体" w:cs="宋体"/>
                <w:color w:val="000000"/>
                <w:sz w:val="24"/>
              </w:rPr>
            </w:pPr>
            <w:r>
              <w:rPr>
                <w:rFonts w:ascii="宋体" w:hAnsi="宋体" w:cs="宋体" w:hint="eastAsia"/>
                <w:color w:val="000000"/>
                <w:sz w:val="24"/>
              </w:rPr>
              <w:t>（1）</w:t>
            </w:r>
            <w:r w:rsidRPr="005B1280">
              <w:rPr>
                <w:rFonts w:ascii="宋体" w:hAnsi="宋体" w:cs="宋体" w:hint="eastAsia"/>
                <w:color w:val="000000"/>
                <w:sz w:val="24"/>
              </w:rPr>
              <w:t>▲</w:t>
            </w:r>
            <w:r>
              <w:rPr>
                <w:rFonts w:ascii="宋体" w:hAnsi="宋体" w:cs="宋体" w:hint="eastAsia"/>
                <w:color w:val="000000"/>
                <w:sz w:val="24"/>
              </w:rPr>
              <w:t>思想政治理论（100分）</w:t>
            </w:r>
          </w:p>
          <w:p w:rsidR="008F165F" w:rsidRDefault="00BB760C" w:rsidP="005B1280">
            <w:pPr>
              <w:adjustRightInd w:val="0"/>
              <w:snapToGrid w:val="0"/>
              <w:rPr>
                <w:rFonts w:ascii="宋体" w:hAnsi="宋体" w:cs="宋体"/>
                <w:color w:val="000000"/>
                <w:sz w:val="24"/>
              </w:rPr>
            </w:pPr>
            <w:r>
              <w:rPr>
                <w:rFonts w:ascii="宋体" w:hAnsi="宋体" w:cs="宋体" w:hint="eastAsia"/>
                <w:color w:val="000000"/>
                <w:sz w:val="24"/>
              </w:rPr>
              <w:t>（2）</w:t>
            </w:r>
            <w:r w:rsidRPr="005B1280">
              <w:rPr>
                <w:rFonts w:ascii="宋体" w:hAnsi="宋体" w:cs="宋体" w:hint="eastAsia"/>
                <w:color w:val="000000"/>
                <w:sz w:val="24"/>
              </w:rPr>
              <w:t>▲</w:t>
            </w:r>
            <w:r>
              <w:rPr>
                <w:rFonts w:ascii="宋体" w:hAnsi="宋体" w:cs="宋体" w:hint="eastAsia"/>
                <w:color w:val="000000"/>
                <w:sz w:val="24"/>
              </w:rPr>
              <w:t>英语一（100分）</w:t>
            </w:r>
          </w:p>
          <w:p w:rsidR="008F165F" w:rsidRDefault="00BB760C" w:rsidP="005B1280">
            <w:pPr>
              <w:adjustRightInd w:val="0"/>
              <w:snapToGrid w:val="0"/>
              <w:rPr>
                <w:rFonts w:ascii="宋体" w:hAnsi="宋体" w:cs="宋体"/>
                <w:color w:val="000000"/>
                <w:sz w:val="24"/>
              </w:rPr>
            </w:pPr>
            <w:r>
              <w:rPr>
                <w:rFonts w:ascii="宋体" w:hAnsi="宋体" w:cs="宋体" w:hint="eastAsia"/>
                <w:color w:val="000000"/>
                <w:sz w:val="24"/>
              </w:rPr>
              <w:t>（3）</w:t>
            </w:r>
            <w:r w:rsidRPr="005B1280">
              <w:rPr>
                <w:rFonts w:ascii="宋体" w:hAnsi="宋体" w:cs="宋体" w:hint="eastAsia"/>
                <w:color w:val="000000"/>
                <w:sz w:val="24"/>
              </w:rPr>
              <w:t>▲</w:t>
            </w:r>
            <w:r>
              <w:rPr>
                <w:rFonts w:ascii="宋体" w:hAnsi="宋体" w:cs="宋体" w:hint="eastAsia"/>
                <w:color w:val="000000"/>
                <w:sz w:val="24"/>
              </w:rPr>
              <w:t>数学三（150分）</w:t>
            </w:r>
          </w:p>
          <w:p w:rsidR="008F165F" w:rsidRPr="005B1280" w:rsidRDefault="00BB760C" w:rsidP="005B1280">
            <w:pPr>
              <w:adjustRightInd w:val="0"/>
              <w:snapToGrid w:val="0"/>
              <w:rPr>
                <w:rFonts w:ascii="宋体" w:hAnsi="宋体" w:cs="宋体"/>
                <w:color w:val="000000"/>
                <w:sz w:val="24"/>
              </w:rPr>
            </w:pPr>
            <w:r>
              <w:rPr>
                <w:rFonts w:ascii="宋体" w:hAnsi="宋体" w:cs="宋体" w:hint="eastAsia"/>
                <w:color w:val="000000"/>
                <w:sz w:val="24"/>
              </w:rPr>
              <w:t>（4）经济学基础（150分）</w:t>
            </w:r>
          </w:p>
        </w:tc>
        <w:tc>
          <w:tcPr>
            <w:tcW w:w="1984" w:type="dxa"/>
            <w:vMerge w:val="restart"/>
            <w:vAlign w:val="center"/>
          </w:tcPr>
          <w:p w:rsidR="008F165F" w:rsidRPr="005B1280" w:rsidRDefault="00BB760C" w:rsidP="005B1280">
            <w:pPr>
              <w:adjustRightInd w:val="0"/>
              <w:snapToGrid w:val="0"/>
              <w:rPr>
                <w:rFonts w:ascii="宋体" w:hAnsi="宋体" w:cs="宋体"/>
                <w:color w:val="000000"/>
                <w:sz w:val="24"/>
              </w:rPr>
            </w:pPr>
            <w:r w:rsidRPr="005B1280">
              <w:rPr>
                <w:rFonts w:ascii="宋体" w:hAnsi="宋体" w:cs="宋体" w:hint="eastAsia"/>
                <w:color w:val="000000"/>
                <w:sz w:val="24"/>
              </w:rPr>
              <w:t>F503-财政学（100分）</w:t>
            </w:r>
          </w:p>
          <w:p w:rsidR="008F165F" w:rsidRPr="005B1280" w:rsidRDefault="008F165F" w:rsidP="005B1280">
            <w:pPr>
              <w:adjustRightInd w:val="0"/>
              <w:snapToGrid w:val="0"/>
              <w:rPr>
                <w:rFonts w:ascii="宋体" w:hAnsi="宋体" w:cs="宋体"/>
                <w:color w:val="000000"/>
                <w:sz w:val="24"/>
              </w:rPr>
            </w:pPr>
          </w:p>
        </w:tc>
      </w:tr>
      <w:tr w:rsidR="008F165F" w:rsidRPr="005B1280" w:rsidTr="005B1280">
        <w:trPr>
          <w:cantSplit/>
          <w:trHeight w:val="657"/>
        </w:trPr>
        <w:tc>
          <w:tcPr>
            <w:tcW w:w="709" w:type="dxa"/>
            <w:vAlign w:val="center"/>
          </w:tcPr>
          <w:p w:rsidR="008F165F" w:rsidRPr="005B1280" w:rsidRDefault="00BB760C" w:rsidP="005B1280">
            <w:pPr>
              <w:adjustRightInd w:val="0"/>
              <w:snapToGrid w:val="0"/>
              <w:rPr>
                <w:rFonts w:ascii="宋体" w:hAnsi="宋体" w:cs="宋体"/>
                <w:color w:val="000000"/>
                <w:sz w:val="24"/>
              </w:rPr>
            </w:pPr>
            <w:r w:rsidRPr="005B1280">
              <w:rPr>
                <w:rFonts w:ascii="宋体" w:hAnsi="宋体" w:cs="宋体" w:hint="eastAsia"/>
                <w:color w:val="000000"/>
                <w:sz w:val="24"/>
              </w:rPr>
              <w:t>2</w:t>
            </w:r>
          </w:p>
        </w:tc>
        <w:tc>
          <w:tcPr>
            <w:tcW w:w="2268" w:type="dxa"/>
            <w:vAlign w:val="center"/>
          </w:tcPr>
          <w:p w:rsidR="008F165F" w:rsidRPr="005B1280" w:rsidRDefault="00BB760C" w:rsidP="005B1280">
            <w:pPr>
              <w:adjustRightInd w:val="0"/>
              <w:snapToGrid w:val="0"/>
              <w:rPr>
                <w:rFonts w:ascii="宋体" w:hAnsi="宋体" w:cs="宋体"/>
                <w:color w:val="000000"/>
                <w:sz w:val="24"/>
              </w:rPr>
            </w:pPr>
            <w:r w:rsidRPr="005B1280">
              <w:rPr>
                <w:rFonts w:ascii="宋体" w:hAnsi="宋体" w:cs="宋体" w:hint="eastAsia"/>
                <w:color w:val="000000"/>
                <w:sz w:val="24"/>
              </w:rPr>
              <w:t>财政理论与政策</w:t>
            </w:r>
          </w:p>
        </w:tc>
        <w:tc>
          <w:tcPr>
            <w:tcW w:w="3119" w:type="dxa"/>
            <w:vMerge/>
            <w:vAlign w:val="center"/>
          </w:tcPr>
          <w:p w:rsidR="008F165F" w:rsidRPr="005B1280" w:rsidRDefault="008F165F" w:rsidP="005B1280">
            <w:pPr>
              <w:adjustRightInd w:val="0"/>
              <w:snapToGrid w:val="0"/>
              <w:rPr>
                <w:rFonts w:ascii="宋体" w:hAnsi="宋体" w:cs="宋体"/>
                <w:color w:val="000000"/>
                <w:sz w:val="24"/>
              </w:rPr>
            </w:pPr>
          </w:p>
        </w:tc>
        <w:tc>
          <w:tcPr>
            <w:tcW w:w="1984" w:type="dxa"/>
            <w:vMerge/>
          </w:tcPr>
          <w:p w:rsidR="008F165F" w:rsidRPr="005B1280" w:rsidRDefault="008F165F" w:rsidP="005B1280">
            <w:pPr>
              <w:adjustRightInd w:val="0"/>
              <w:snapToGrid w:val="0"/>
              <w:rPr>
                <w:rFonts w:ascii="宋体" w:hAnsi="宋体" w:cs="宋体"/>
                <w:color w:val="000000"/>
                <w:sz w:val="24"/>
              </w:rPr>
            </w:pPr>
          </w:p>
        </w:tc>
      </w:tr>
      <w:tr w:rsidR="008F165F" w:rsidRPr="005B1280" w:rsidTr="005B1280">
        <w:trPr>
          <w:cantSplit/>
          <w:trHeight w:val="657"/>
        </w:trPr>
        <w:tc>
          <w:tcPr>
            <w:tcW w:w="709" w:type="dxa"/>
            <w:tcBorders>
              <w:bottom w:val="single" w:sz="4" w:space="0" w:color="auto"/>
            </w:tcBorders>
            <w:vAlign w:val="center"/>
          </w:tcPr>
          <w:p w:rsidR="008F165F" w:rsidRPr="005B1280" w:rsidRDefault="00BB760C" w:rsidP="005B1280">
            <w:pPr>
              <w:adjustRightInd w:val="0"/>
              <w:snapToGrid w:val="0"/>
              <w:rPr>
                <w:rFonts w:ascii="宋体" w:hAnsi="宋体" w:cs="宋体"/>
                <w:color w:val="000000"/>
                <w:sz w:val="24"/>
              </w:rPr>
            </w:pPr>
            <w:r w:rsidRPr="005B1280">
              <w:rPr>
                <w:rFonts w:ascii="宋体" w:hAnsi="宋体" w:cs="宋体" w:hint="eastAsia"/>
                <w:color w:val="000000"/>
                <w:sz w:val="24"/>
              </w:rPr>
              <w:t>3</w:t>
            </w:r>
          </w:p>
        </w:tc>
        <w:tc>
          <w:tcPr>
            <w:tcW w:w="2268" w:type="dxa"/>
            <w:tcBorders>
              <w:bottom w:val="single" w:sz="4" w:space="0" w:color="auto"/>
            </w:tcBorders>
            <w:vAlign w:val="center"/>
          </w:tcPr>
          <w:p w:rsidR="008F165F" w:rsidRPr="005B1280" w:rsidRDefault="00BB760C" w:rsidP="005B1280">
            <w:pPr>
              <w:adjustRightInd w:val="0"/>
              <w:snapToGrid w:val="0"/>
              <w:rPr>
                <w:rFonts w:ascii="宋体" w:hAnsi="宋体" w:cs="宋体"/>
                <w:color w:val="000000"/>
                <w:sz w:val="24"/>
              </w:rPr>
            </w:pPr>
            <w:r w:rsidRPr="005B1280">
              <w:rPr>
                <w:rFonts w:ascii="宋体" w:hAnsi="宋体" w:cs="宋体" w:hint="eastAsia"/>
                <w:color w:val="000000"/>
                <w:sz w:val="24"/>
              </w:rPr>
              <w:t>财税管理信息化</w:t>
            </w:r>
          </w:p>
        </w:tc>
        <w:tc>
          <w:tcPr>
            <w:tcW w:w="3119" w:type="dxa"/>
            <w:vMerge/>
            <w:tcBorders>
              <w:bottom w:val="single" w:sz="4" w:space="0" w:color="auto"/>
            </w:tcBorders>
            <w:vAlign w:val="center"/>
          </w:tcPr>
          <w:p w:rsidR="008F165F" w:rsidRPr="005B1280" w:rsidRDefault="008F165F" w:rsidP="005B1280">
            <w:pPr>
              <w:adjustRightInd w:val="0"/>
              <w:snapToGrid w:val="0"/>
              <w:rPr>
                <w:rFonts w:ascii="宋体" w:hAnsi="宋体" w:cs="宋体"/>
                <w:color w:val="000000"/>
                <w:sz w:val="24"/>
              </w:rPr>
            </w:pPr>
          </w:p>
        </w:tc>
        <w:tc>
          <w:tcPr>
            <w:tcW w:w="1984" w:type="dxa"/>
            <w:vMerge/>
            <w:tcBorders>
              <w:bottom w:val="single" w:sz="4" w:space="0" w:color="auto"/>
            </w:tcBorders>
          </w:tcPr>
          <w:p w:rsidR="008F165F" w:rsidRPr="005B1280" w:rsidRDefault="008F165F" w:rsidP="005B1280">
            <w:pPr>
              <w:adjustRightInd w:val="0"/>
              <w:snapToGrid w:val="0"/>
              <w:rPr>
                <w:rFonts w:ascii="宋体" w:hAnsi="宋体" w:cs="宋体"/>
                <w:color w:val="000000"/>
                <w:sz w:val="24"/>
              </w:rPr>
            </w:pPr>
          </w:p>
        </w:tc>
      </w:tr>
    </w:tbl>
    <w:p w:rsidR="008F165F" w:rsidRDefault="00BB760C">
      <w:pPr>
        <w:adjustRightInd w:val="0"/>
        <w:snapToGrid w:val="0"/>
        <w:rPr>
          <w:b/>
          <w:bCs/>
        </w:rPr>
      </w:pPr>
      <w:r>
        <w:rPr>
          <w:rFonts w:hint="eastAsia"/>
          <w:b/>
          <w:bCs/>
        </w:rPr>
        <w:t>▲</w:t>
      </w:r>
      <w:r>
        <w:rPr>
          <w:rFonts w:ascii="仿宋_GB2312" w:eastAsia="仿宋_GB2312" w:hAnsi="宋体" w:hint="eastAsia"/>
          <w:b/>
          <w:bCs/>
          <w:color w:val="000000"/>
          <w:sz w:val="24"/>
        </w:rPr>
        <w:t>表示统考科目或联考科目，考试题型、考试大纲以教育部公布为准,其他为自命题科目。</w:t>
      </w:r>
    </w:p>
    <w:p w:rsidR="008F165F" w:rsidRDefault="008F165F">
      <w:pPr>
        <w:snapToGrid w:val="0"/>
        <w:rPr>
          <w:rFonts w:eastAsia="黑体"/>
          <w:color w:val="FF00FF"/>
          <w:sz w:val="24"/>
        </w:rPr>
      </w:pPr>
    </w:p>
    <w:p w:rsidR="008F165F" w:rsidRDefault="00BB760C">
      <w:pPr>
        <w:snapToGrid w:val="0"/>
        <w:rPr>
          <w:rFonts w:ascii="宋体" w:hAnsi="宋体" w:cs="宋体"/>
          <w:b/>
          <w:sz w:val="24"/>
        </w:rPr>
      </w:pPr>
      <w:r>
        <w:rPr>
          <w:rFonts w:ascii="宋体" w:hAnsi="宋体" w:cs="宋体" w:hint="eastAsia"/>
          <w:b/>
          <w:sz w:val="24"/>
        </w:rPr>
        <w:t>自命题考试题型及相应分值：</w:t>
      </w:r>
    </w:p>
    <w:p w:rsidR="008F165F" w:rsidRDefault="00BB760C">
      <w:pPr>
        <w:adjustRightInd w:val="0"/>
        <w:snapToGrid w:val="0"/>
        <w:jc w:val="left"/>
        <w:rPr>
          <w:rFonts w:ascii="宋体" w:hAnsi="宋体" w:cs="宋体"/>
          <w:b/>
          <w:sz w:val="24"/>
        </w:rPr>
      </w:pPr>
      <w:r>
        <w:rPr>
          <w:rFonts w:ascii="宋体" w:hAnsi="宋体" w:cs="宋体" w:hint="eastAsia"/>
          <w:b/>
          <w:sz w:val="24"/>
        </w:rPr>
        <w:t>《经济学基础》</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（1）名词解释（6题，每题5分，共30分）</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（2）简答题（6题，每题10分，共60分）</w:t>
      </w:r>
    </w:p>
    <w:p w:rsidR="00331F6E" w:rsidRDefault="00BB760C" w:rsidP="00331F6E">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（3）论述题（2题，每题30分，共60分）</w:t>
      </w:r>
    </w:p>
    <w:p w:rsidR="008F165F" w:rsidRDefault="00BB760C" w:rsidP="00331F6E">
      <w:pPr>
        <w:widowControl/>
        <w:snapToGrid w:val="0"/>
        <w:spacing w:line="36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参考书目：高鸿业：《西方经济学(宏/微观)》第7版 ，中国人民大学出版社，2018年。</w:t>
      </w:r>
    </w:p>
    <w:p w:rsidR="008F165F" w:rsidRDefault="008F165F">
      <w:pPr>
        <w:adjustRightInd w:val="0"/>
        <w:snapToGrid w:val="0"/>
        <w:spacing w:line="360" w:lineRule="auto"/>
        <w:ind w:firstLineChars="50" w:firstLine="120"/>
        <w:jc w:val="left"/>
        <w:rPr>
          <w:rFonts w:ascii="宋体" w:hAnsi="宋体"/>
          <w:sz w:val="24"/>
        </w:rPr>
      </w:pPr>
    </w:p>
    <w:p w:rsidR="008F165F" w:rsidRDefault="00BB760C">
      <w:pPr>
        <w:adjustRightInd w:val="0"/>
        <w:snapToGrid w:val="0"/>
        <w:spacing w:line="360" w:lineRule="auto"/>
        <w:rPr>
          <w:rFonts w:ascii="宋体" w:hAnsi="宋体"/>
          <w:b/>
          <w:sz w:val="24"/>
        </w:rPr>
      </w:pPr>
      <w:r>
        <w:rPr>
          <w:rFonts w:ascii="宋体" w:hAnsi="宋体" w:hint="eastAsia"/>
          <w:b/>
          <w:sz w:val="24"/>
        </w:rPr>
        <w:t>《财政学》</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（1）简答题（5题，每题10分，共50分）</w:t>
      </w:r>
    </w:p>
    <w:p w:rsidR="00331F6E" w:rsidRDefault="00BB760C" w:rsidP="00331F6E">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（2）论述题（2题，每题25分，共50分）</w:t>
      </w:r>
    </w:p>
    <w:p w:rsidR="008F165F" w:rsidRDefault="00BB760C" w:rsidP="00331F6E">
      <w:pPr>
        <w:widowControl/>
        <w:snapToGrid w:val="0"/>
        <w:spacing w:line="36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参考书目：陈共：《财政学（第十版）》第十版，中国人民大学出版社，2020年。</w:t>
      </w:r>
    </w:p>
    <w:p w:rsidR="008F165F" w:rsidRDefault="008F165F">
      <w:pPr>
        <w:adjustRightInd w:val="0"/>
        <w:snapToGrid w:val="0"/>
        <w:rPr>
          <w:rFonts w:ascii="宋体" w:hAnsi="宋体"/>
          <w:b/>
          <w:sz w:val="24"/>
        </w:rPr>
      </w:pPr>
    </w:p>
    <w:p w:rsidR="008F165F" w:rsidRDefault="00BB760C">
      <w:pPr>
        <w:adjustRightInd w:val="0"/>
        <w:snapToGrid w:val="0"/>
        <w:rPr>
          <w:rFonts w:ascii="宋体" w:hAnsi="宋体"/>
          <w:b/>
          <w:sz w:val="24"/>
        </w:rPr>
      </w:pPr>
      <w:r>
        <w:rPr>
          <w:rFonts w:ascii="宋体" w:hAnsi="宋体" w:hint="eastAsia"/>
          <w:b/>
          <w:sz w:val="24"/>
        </w:rPr>
        <w:t>考试大纲</w:t>
      </w:r>
    </w:p>
    <w:p w:rsidR="008F165F" w:rsidRDefault="00BB760C">
      <w:pPr>
        <w:adjustRightInd w:val="0"/>
        <w:snapToGrid w:val="0"/>
        <w:jc w:val="center"/>
        <w:rPr>
          <w:rFonts w:ascii="黑体" w:eastAsia="黑体" w:hAnsi="仿宋_GB2312" w:cs="仿宋_GB2312"/>
          <w:b/>
          <w:bCs/>
          <w:kern w:val="0"/>
          <w:sz w:val="36"/>
          <w:szCs w:val="36"/>
        </w:rPr>
      </w:pPr>
      <w:r>
        <w:rPr>
          <w:rFonts w:ascii="黑体" w:eastAsia="黑体" w:hAnsi="仿宋_GB2312" w:cs="仿宋_GB2312" w:hint="eastAsia"/>
          <w:b/>
          <w:bCs/>
          <w:kern w:val="0"/>
          <w:sz w:val="36"/>
          <w:szCs w:val="36"/>
        </w:rPr>
        <w:t>《经济学基础》</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内容主要包括价格理论，消费者行为理论（效用理论），生产理论，福利经济学，市场失灵和微观经济政策，国民收入决定理论，宏观经济政策分析，失业与通货膨胀理论，经济增长理论等。测试学生对微观经济学和宏观经济学的基本原理、基本工具和方法的掌握程度，了解其是否具有初步应用这些基本原理和基本方法分析有关问题的能力。</w:t>
      </w:r>
    </w:p>
    <w:p w:rsidR="008F165F" w:rsidRDefault="00BB760C">
      <w:pPr>
        <w:widowControl/>
        <w:snapToGrid w:val="0"/>
        <w:spacing w:line="360" w:lineRule="auto"/>
        <w:rPr>
          <w:rFonts w:ascii="宋体" w:hAnsi="宋体" w:cs="宋体"/>
          <w:color w:val="000000"/>
          <w:sz w:val="24"/>
          <w:shd w:val="clear" w:color="auto" w:fill="FFFFFF"/>
        </w:rPr>
      </w:pPr>
      <w:r>
        <w:rPr>
          <w:rFonts w:ascii="黑体" w:eastAsia="黑体" w:hAnsi="黑体" w:cs="黑体" w:hint="eastAsia"/>
          <w:b/>
          <w:bCs/>
          <w:color w:val="000000"/>
          <w:sz w:val="24"/>
          <w:shd w:val="clear" w:color="auto" w:fill="FFFFFF"/>
        </w:rPr>
        <w:t>第一部分  微观经济理论</w:t>
      </w:r>
    </w:p>
    <w:p w:rsidR="008F165F" w:rsidRDefault="00BB760C">
      <w:pPr>
        <w:widowControl/>
        <w:snapToGrid w:val="0"/>
        <w:spacing w:line="360" w:lineRule="auto"/>
        <w:rPr>
          <w:rFonts w:ascii="宋体" w:hAnsi="宋体" w:cs="宋体"/>
          <w:color w:val="000000"/>
          <w:sz w:val="24"/>
          <w:shd w:val="clear" w:color="auto" w:fill="FFFFFF"/>
        </w:rPr>
      </w:pPr>
      <w:r>
        <w:rPr>
          <w:rFonts w:ascii="宋体" w:hAnsi="宋体" w:cs="宋体" w:hint="eastAsia"/>
          <w:bCs/>
          <w:color w:val="000000"/>
          <w:sz w:val="24"/>
          <w:shd w:val="clear" w:color="auto" w:fill="FFFFFF"/>
        </w:rPr>
        <w:t>一、需求、供给与价格理论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需求理论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需求、需求表、需求曲线与需求规律      影响需求的因素：需求函数</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需求定理                            需求量的变动与需求的变动</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供给理论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供给、供给表、供给曲线               影响供给的因素：供给函数</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供给定理                            供给量的变动与供给的变动</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价格的决定</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均衡价格含义及形成                    需求与供给变动对均衡的影响</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lastRenderedPageBreak/>
        <w:t>需求价格弹性</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需求价格弹性的含义与分类              影响需求弹性的因素</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其他弹性</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需求收入弹性               需求交叉弹性       供给弹性</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弹性理论的运用：需求弹性与总收益</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二、消费者行为理论（效用理论）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效用</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基数效用论与序数效用论    总效用与边际效用     边际效用递减规律</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序数效用论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无差异曲线及特征           消费可能线（预算线）   消费者均衡</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消费者行为理论的运用</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消费者剩余                 消费者行为与需求定理</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消费者的其他决策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劳动供给决策                消费与储蓄决策          投资决策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三、生产理论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生产要素与生产函数</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边际收益递减规律</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总产量、平均产量、边际产量的关系</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等产量线与等成本线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最优生产要素的最适组合</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规模报酬</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四、成本与收益理论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成本</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会计成本与机会成本             机会成本在企业决策中的作用</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短期成本</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短期成本的分类                 各类短期成本的变动规律及其关系</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长期成本</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长期总成本                     长期平均成本          长期边际成本</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收益与利润最大化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总收益、平均收益与边际收益     利润最大化原则</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lastRenderedPageBreak/>
        <w:t>五、竞争市场理论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市场结构</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市场结构类型                    市场结构与企业行为的关系</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完全竞争市场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完全竞争市场含义与特征     完全竞争市场需求曲线、平均收益与边际收益</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利润最大化的基本原则       完全竞争市场上的短期均衡与长期均衡</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非完全竞争市场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完全垄断、垄断竞争和寡头垄断市场的条件及其特征</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完全垄断厂商的需求曲线、平均收益与边际收益</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垄断市场上的短期均衡与长期均衡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垄断竞争与完全竞争的比较</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垄断竞争市场上的产品差别竞争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现代寡头理论：博弈论含义及基本内容</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六、生产要素价格的决定</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完全竞争厂商使用生产要素的原则</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完全竞争厂商对生产要素的需求曲线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从厂商的需求曲线到市场的需求曲线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劳动供</w:t>
      </w:r>
      <w:r>
        <w:rPr>
          <w:rFonts w:ascii="宋体" w:hAnsi="宋体" w:cs="宋体" w:hint="eastAsia"/>
          <w:color w:val="000000"/>
          <w:sz w:val="24"/>
          <w:shd w:val="clear" w:color="auto" w:fill="FFFFFF"/>
        </w:rPr>
        <w:t>给</w:t>
      </w:r>
      <w:r>
        <w:rPr>
          <w:rFonts w:ascii="宋体" w:hAnsi="宋体" w:cs="宋体"/>
          <w:color w:val="000000"/>
          <w:sz w:val="24"/>
          <w:shd w:val="clear" w:color="auto" w:fill="FFFFFF"/>
        </w:rPr>
        <w:t>曲线和工资率的决定</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土地的供给曲线和地租的决定</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资本的供给曲线和利息的决定</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color w:val="000000"/>
          <w:sz w:val="24"/>
          <w:shd w:val="clear" w:color="auto" w:fill="FFFFFF"/>
        </w:rPr>
        <w:t>洛伦兹曲线和基尼系数</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七、一般均衡论和福利经济学</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一般均衡的含义</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经济效率</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交换的帕累托最优条件</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生产的帕累托最优条件</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交换和生产的帕累托最优条件</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社会福利函数</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八、市场失灵和微观经济政策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lastRenderedPageBreak/>
        <w:t>市场失灵</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外部性、科斯定理</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公共物品和公共资源</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公共选择理论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信息的不完全与不对称</w:t>
      </w:r>
    </w:p>
    <w:p w:rsidR="008F165F" w:rsidRDefault="008F165F">
      <w:pPr>
        <w:widowControl/>
        <w:snapToGrid w:val="0"/>
        <w:spacing w:line="360" w:lineRule="auto"/>
        <w:ind w:firstLine="480"/>
        <w:rPr>
          <w:rFonts w:ascii="宋体" w:hAnsi="宋体" w:cs="宋体"/>
          <w:color w:val="000000"/>
          <w:sz w:val="24"/>
          <w:shd w:val="clear" w:color="auto" w:fill="FFFFFF"/>
        </w:rPr>
      </w:pP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第二部分  宏观经济理论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一、分配理论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社会收入分配</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衡量社会收入分配状态的标准：劳伦斯曲线与基尼系数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引起收入分配不平等的原因</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收入再分配政策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过程公平论与结果公平论       收入再分配政策       公平与效率</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二、国民收入决定理论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国内生产总值</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国内生产总值的含义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国内生产总值的计算方法</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实际国内生产总值与名义国内生产总值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国内生产总值与人均国内生产总值</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消费函数、储蓄函数</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乘数理论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其他宏观经济指标</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物价指数                       失业率</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三、产品市场和货币市场的一般均衡理论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投资的决定</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实际利率与投资                  边际效率的意义与资本边际效率曲线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投资边际效率曲线                预期收益与投资</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商品市场的均衡（IS）曲线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货币市场的均衡（LM）曲线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利率的决定</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lastRenderedPageBreak/>
        <w:t xml:space="preserve">四、宏观经济政策分析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财政政策和货币政策的影响</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财政政策                         货币政策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财政政策和货币政策的影响         财政政策和货币政策的混合使用</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经济政策目标</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充分就业                         价格稳定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经济持续均衡增长                 国际收支平衡。</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财政政策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财政政策工具                     自动稳定与相机抉择的财政政策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功能财政和预算盈余               充分就业预算盈余与财政政策方向</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货币政策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商业银行和中央银行               存款创造和货币供给</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债券价格与市场利息率的关系       货币政策及其工具</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货币政策起作用的其他途径</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五、失业、通货膨胀理论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失业理论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失业的分类                       自然失业率和自然就业率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失业的影响                       奥肯定律</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通货膨胀理论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通货膨胀的含义与分类             通货膨胀对经济的影响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通货膨胀的原因                   需求拉动的通货膨胀理论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供给推动的通货膨胀理论           其他通货膨胀理论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治理通货膨胀的对策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菲利普斯曲线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菲利普斯曲线的提出               菲利普斯曲线的的政策含义</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附加预期的菲利普斯曲线           长期的菲利普斯曲线</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六、经济增长与经济周期理论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经济增长理论</w:t>
      </w:r>
    </w:p>
    <w:p w:rsidR="008F165F" w:rsidRDefault="00BB760C">
      <w:pPr>
        <w:widowControl/>
        <w:tabs>
          <w:tab w:val="left" w:pos="420"/>
        </w:tabs>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经济增长与经济发展               影响经济增长因素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   古典增长理论模型                  内生增长理论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lastRenderedPageBreak/>
        <w:t xml:space="preserve">   促进经济增长的政策</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经济周期的含义与特征</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乘数—加速数模型基本思想</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七、国际经济理论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国际贸易理论的发展</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绝对优势理论                     比较优势理论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赫克歇尔—俄林理论               规模经济理论</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国际金融体系</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金本位制                        布雷顿森林体系和国际货币基金组织</w:t>
      </w:r>
    </w:p>
    <w:p w:rsidR="008F165F" w:rsidRDefault="00BB760C">
      <w:pPr>
        <w:widowControl/>
        <w:tabs>
          <w:tab w:val="left" w:pos="0"/>
          <w:tab w:val="left" w:pos="420"/>
        </w:tabs>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汇率和对外贸易</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 xml:space="preserve">汇率及其标价                    汇率制度     </w:t>
      </w:r>
    </w:p>
    <w:p w:rsidR="008F165F" w:rsidRDefault="00BB760C">
      <w:pPr>
        <w:widowControl/>
        <w:snapToGrid w:val="0"/>
        <w:spacing w:line="360" w:lineRule="auto"/>
        <w:ind w:firstLine="480"/>
        <w:rPr>
          <w:rFonts w:ascii="宋体" w:hAnsi="宋体" w:cs="宋体"/>
          <w:color w:val="000000"/>
          <w:sz w:val="24"/>
          <w:shd w:val="clear" w:color="auto" w:fill="FFFFFF"/>
        </w:rPr>
      </w:pPr>
      <w:r>
        <w:rPr>
          <w:rFonts w:ascii="宋体" w:hAnsi="宋体" w:cs="宋体" w:hint="eastAsia"/>
          <w:color w:val="000000"/>
          <w:sz w:val="24"/>
          <w:shd w:val="clear" w:color="auto" w:fill="FFFFFF"/>
        </w:rPr>
        <w:t>自由浮动制度下汇率的决定        购买力平价理论     实际汇率</w:t>
      </w:r>
    </w:p>
    <w:p w:rsidR="008F165F" w:rsidRDefault="008F165F" w:rsidP="00E829E6">
      <w:pPr>
        <w:widowControl/>
        <w:snapToGrid w:val="0"/>
        <w:spacing w:line="360" w:lineRule="auto"/>
        <w:rPr>
          <w:rFonts w:ascii="宋体" w:hAnsi="宋体" w:cs="宋体"/>
          <w:color w:val="000000"/>
          <w:sz w:val="24"/>
          <w:shd w:val="clear" w:color="auto" w:fill="FFFFFF"/>
        </w:rPr>
      </w:pPr>
    </w:p>
    <w:p w:rsidR="008F165F" w:rsidRDefault="00BB760C">
      <w:pPr>
        <w:widowControl/>
        <w:snapToGrid w:val="0"/>
        <w:jc w:val="center"/>
        <w:rPr>
          <w:rFonts w:ascii="黑体" w:eastAsia="黑体" w:hAnsi="仿宋_GB2312" w:cs="仿宋_GB2312"/>
          <w:b/>
          <w:bCs/>
          <w:kern w:val="0"/>
          <w:sz w:val="36"/>
          <w:szCs w:val="36"/>
        </w:rPr>
      </w:pPr>
      <w:r>
        <w:rPr>
          <w:rFonts w:ascii="黑体" w:eastAsia="黑体" w:hAnsi="仿宋_GB2312" w:cs="仿宋_GB2312" w:hint="eastAsia"/>
          <w:b/>
          <w:bCs/>
          <w:kern w:val="0"/>
          <w:sz w:val="36"/>
          <w:szCs w:val="36"/>
        </w:rPr>
        <w:t>《财政学》</w:t>
      </w:r>
    </w:p>
    <w:p w:rsidR="008F165F" w:rsidRDefault="00BB760C">
      <w:pPr>
        <w:adjustRightInd w:val="0"/>
        <w:snapToGrid w:val="0"/>
        <w:spacing w:line="360" w:lineRule="auto"/>
        <w:jc w:val="left"/>
        <w:rPr>
          <w:rFonts w:ascii="宋体" w:hAnsi="宋体"/>
          <w:b/>
          <w:sz w:val="24"/>
        </w:rPr>
      </w:pPr>
      <w:r>
        <w:rPr>
          <w:rFonts w:ascii="宋体" w:hAnsi="宋体" w:hint="eastAsia"/>
          <w:b/>
          <w:sz w:val="24"/>
        </w:rPr>
        <w:t>《财政学》考试大纲概述：</w:t>
      </w:r>
    </w:p>
    <w:p w:rsidR="008F165F" w:rsidRDefault="00BB760C">
      <w:pPr>
        <w:adjustRightInd w:val="0"/>
        <w:snapToGrid w:val="0"/>
        <w:spacing w:line="360" w:lineRule="auto"/>
        <w:ind w:firstLineChars="250" w:firstLine="600"/>
        <w:jc w:val="left"/>
        <w:rPr>
          <w:rFonts w:ascii="宋体" w:hAnsi="宋体"/>
          <w:sz w:val="24"/>
        </w:rPr>
      </w:pPr>
      <w:r>
        <w:rPr>
          <w:rFonts w:ascii="宋体" w:hAnsi="宋体" w:hint="eastAsia"/>
          <w:sz w:val="24"/>
        </w:rPr>
        <w:t>本课程考试要求学生了解和掌握财政学的基本理论和基本知识，具体包括财政概念与职能、财政支出基本理论和具体内容、财政收入基本理论、税收理论、国债理论，财政管理及平衡、财政政策等。要求学生能够运用所学理论、知识和方法解决财政领域中的相关问题，为以后的专业学习、理论研究和实际工作奠定坚实的基础。</w:t>
      </w:r>
    </w:p>
    <w:p w:rsidR="008F165F" w:rsidRDefault="00BB760C">
      <w:pPr>
        <w:adjustRightInd w:val="0"/>
        <w:snapToGrid w:val="0"/>
        <w:spacing w:line="360" w:lineRule="auto"/>
        <w:rPr>
          <w:rFonts w:ascii="宋体" w:hAnsi="宋体"/>
          <w:sz w:val="24"/>
        </w:rPr>
      </w:pPr>
      <w:r>
        <w:rPr>
          <w:rFonts w:ascii="宋体" w:hAnsi="宋体" w:hint="eastAsia"/>
          <w:sz w:val="24"/>
        </w:rPr>
        <w:t>一、财政概念和财政职能</w:t>
      </w:r>
    </w:p>
    <w:p w:rsidR="008F165F" w:rsidRDefault="00BB760C">
      <w:pPr>
        <w:numPr>
          <w:ilvl w:val="0"/>
          <w:numId w:val="1"/>
        </w:numPr>
        <w:adjustRightInd w:val="0"/>
        <w:snapToGrid w:val="0"/>
        <w:spacing w:line="360" w:lineRule="auto"/>
        <w:rPr>
          <w:rFonts w:ascii="宋体" w:hAnsi="宋体"/>
          <w:sz w:val="24"/>
        </w:rPr>
      </w:pPr>
      <w:r>
        <w:rPr>
          <w:rFonts w:ascii="宋体" w:hAnsi="宋体" w:hint="eastAsia"/>
          <w:sz w:val="24"/>
        </w:rPr>
        <w:t>政府与市场</w:t>
      </w:r>
    </w:p>
    <w:p w:rsidR="008F165F" w:rsidRDefault="00BB760C">
      <w:pPr>
        <w:numPr>
          <w:ilvl w:val="0"/>
          <w:numId w:val="1"/>
        </w:numPr>
        <w:adjustRightInd w:val="0"/>
        <w:snapToGrid w:val="0"/>
        <w:spacing w:line="360" w:lineRule="auto"/>
        <w:rPr>
          <w:rFonts w:ascii="宋体" w:hAnsi="宋体"/>
          <w:sz w:val="24"/>
        </w:rPr>
      </w:pPr>
      <w:r>
        <w:rPr>
          <w:rFonts w:ascii="宋体" w:hAnsi="宋体" w:hint="eastAsia"/>
          <w:sz w:val="24"/>
        </w:rPr>
        <w:t>财政概念</w:t>
      </w:r>
    </w:p>
    <w:p w:rsidR="008F165F" w:rsidRDefault="00BB760C">
      <w:pPr>
        <w:numPr>
          <w:ilvl w:val="0"/>
          <w:numId w:val="1"/>
        </w:numPr>
        <w:adjustRightInd w:val="0"/>
        <w:snapToGrid w:val="0"/>
        <w:spacing w:line="360" w:lineRule="auto"/>
        <w:rPr>
          <w:rFonts w:ascii="宋体" w:hAnsi="宋体"/>
          <w:sz w:val="24"/>
        </w:rPr>
      </w:pPr>
      <w:r>
        <w:rPr>
          <w:rFonts w:ascii="宋体" w:hAnsi="宋体" w:hint="eastAsia"/>
          <w:sz w:val="24"/>
        </w:rPr>
        <w:t>财政职能</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二、财政支出的基本理论</w:t>
      </w:r>
    </w:p>
    <w:p w:rsidR="008F165F" w:rsidRDefault="00BB760C">
      <w:pPr>
        <w:numPr>
          <w:ilvl w:val="0"/>
          <w:numId w:val="2"/>
        </w:numPr>
        <w:adjustRightInd w:val="0"/>
        <w:snapToGrid w:val="0"/>
        <w:spacing w:line="360" w:lineRule="auto"/>
        <w:rPr>
          <w:rFonts w:ascii="宋体" w:hAnsi="宋体"/>
          <w:sz w:val="24"/>
        </w:rPr>
      </w:pPr>
      <w:r>
        <w:rPr>
          <w:rFonts w:ascii="宋体" w:hAnsi="宋体" w:hint="eastAsia"/>
          <w:sz w:val="24"/>
        </w:rPr>
        <w:t>公共物品的提供、生产和定价</w:t>
      </w:r>
    </w:p>
    <w:p w:rsidR="008F165F" w:rsidRDefault="00BB760C">
      <w:pPr>
        <w:numPr>
          <w:ilvl w:val="0"/>
          <w:numId w:val="2"/>
        </w:numPr>
        <w:adjustRightInd w:val="0"/>
        <w:snapToGrid w:val="0"/>
        <w:spacing w:line="360" w:lineRule="auto"/>
        <w:rPr>
          <w:rFonts w:ascii="宋体" w:hAnsi="宋体"/>
          <w:sz w:val="24"/>
        </w:rPr>
      </w:pPr>
      <w:r>
        <w:rPr>
          <w:rFonts w:ascii="宋体" w:hAnsi="宋体" w:hint="eastAsia"/>
          <w:sz w:val="24"/>
        </w:rPr>
        <w:t>财政支出效益的分析和评价</w:t>
      </w:r>
    </w:p>
    <w:p w:rsidR="008F165F" w:rsidRDefault="00BB760C">
      <w:pPr>
        <w:numPr>
          <w:ilvl w:val="0"/>
          <w:numId w:val="2"/>
        </w:numPr>
        <w:adjustRightInd w:val="0"/>
        <w:snapToGrid w:val="0"/>
        <w:spacing w:line="360" w:lineRule="auto"/>
        <w:rPr>
          <w:rFonts w:ascii="宋体" w:hAnsi="宋体"/>
          <w:sz w:val="24"/>
        </w:rPr>
      </w:pPr>
      <w:r>
        <w:rPr>
          <w:rFonts w:ascii="宋体" w:hAnsi="宋体" w:hint="eastAsia"/>
          <w:sz w:val="24"/>
        </w:rPr>
        <w:t>财政的法制化、民主化和财政监督</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lastRenderedPageBreak/>
        <w:t>三、 财政支出规模与结构分析</w:t>
      </w:r>
    </w:p>
    <w:p w:rsidR="008F165F" w:rsidRDefault="00BB760C">
      <w:pPr>
        <w:numPr>
          <w:ilvl w:val="0"/>
          <w:numId w:val="3"/>
        </w:numPr>
        <w:adjustRightInd w:val="0"/>
        <w:snapToGrid w:val="0"/>
        <w:spacing w:line="360" w:lineRule="auto"/>
        <w:rPr>
          <w:rFonts w:ascii="宋体" w:hAnsi="宋体"/>
          <w:sz w:val="24"/>
        </w:rPr>
      </w:pPr>
      <w:r>
        <w:rPr>
          <w:rFonts w:ascii="宋体" w:hAnsi="宋体" w:hint="eastAsia"/>
          <w:sz w:val="24"/>
        </w:rPr>
        <w:t>财政支出分类</w:t>
      </w:r>
    </w:p>
    <w:p w:rsidR="008F165F" w:rsidRDefault="00BB760C">
      <w:pPr>
        <w:numPr>
          <w:ilvl w:val="0"/>
          <w:numId w:val="3"/>
        </w:numPr>
        <w:adjustRightInd w:val="0"/>
        <w:snapToGrid w:val="0"/>
        <w:spacing w:line="360" w:lineRule="auto"/>
        <w:rPr>
          <w:rFonts w:ascii="宋体" w:hAnsi="宋体"/>
          <w:sz w:val="24"/>
        </w:rPr>
      </w:pPr>
      <w:r>
        <w:rPr>
          <w:rFonts w:ascii="宋体" w:hAnsi="宋体" w:hint="eastAsia"/>
          <w:sz w:val="24"/>
        </w:rPr>
        <w:t>财政支出规模分析</w:t>
      </w:r>
    </w:p>
    <w:p w:rsidR="008F165F" w:rsidRDefault="00BB760C">
      <w:pPr>
        <w:numPr>
          <w:ilvl w:val="0"/>
          <w:numId w:val="3"/>
        </w:numPr>
        <w:adjustRightInd w:val="0"/>
        <w:snapToGrid w:val="0"/>
        <w:spacing w:line="360" w:lineRule="auto"/>
        <w:rPr>
          <w:rFonts w:ascii="宋体" w:hAnsi="宋体"/>
          <w:sz w:val="24"/>
        </w:rPr>
      </w:pPr>
      <w:r>
        <w:rPr>
          <w:rFonts w:ascii="宋体" w:hAnsi="宋体" w:hint="eastAsia"/>
          <w:sz w:val="24"/>
        </w:rPr>
        <w:t>财政支出结构分析</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四、社会消费性支出——购买性支出之一</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社会消费性支出的性质</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行政管理费和国防费</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文科卫支出</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五、财政投资性支出——购买性支出之二</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财政投资性支出的一般分析</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基础设施投资</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财政用于“三农”的投人</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财政投融资制度</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六、转移性支出</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社会保障支出</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财政补贴</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税收支出</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七、 财政收入规模与构成分析</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财政收入分类</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财政收入(预算内)规模的影响因素及我国的实证分析</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我国当前财政收入规模水平的分析和评估</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财政收入形式构成和预算外资金分析</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八、 税收原理</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什么是税收</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税收术语和税收分类</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lastRenderedPageBreak/>
        <w:t>税收原则</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税负的转嫁与归宿</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九、税收的经济效应</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税收的经济效应的作用机制</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税收的经济影响</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税收与经济发展</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十、 税收制度</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我国税收制度的历史演变</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商品课税</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所得课税</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资源课税与财产课税</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我国税收征管制度</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十一、 税制改革的理论与实践</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工商税制改革</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我国工商税制改革的基本思路和方向</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农村税费改革</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十二、 国债和国债市场</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国债原理</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国债的经济效应和政策功能</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我国债务负担率及债务依存度的分析</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国债市场及其功能</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政府直接隐性债务和或有债务</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十三、 国家预算和预算管理体制</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国家预算概述</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我国预算管理制度的改革和建设</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lastRenderedPageBreak/>
        <w:t>中国分税制改革</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十四、 财政平衡和财政赤字</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财政平衡与财政赤字概述</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财政赤字与社会总供求平衡</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运用IS-LM模型分析财政赤字的经济效应</w:t>
      </w:r>
    </w:p>
    <w:p w:rsidR="008F165F" w:rsidRDefault="008F165F">
      <w:pPr>
        <w:adjustRightInd w:val="0"/>
        <w:snapToGrid w:val="0"/>
        <w:spacing w:line="360" w:lineRule="auto"/>
        <w:rPr>
          <w:rFonts w:ascii="宋体" w:hAnsi="宋体"/>
          <w:sz w:val="24"/>
        </w:rPr>
      </w:pPr>
    </w:p>
    <w:p w:rsidR="008F165F" w:rsidRDefault="00BB760C">
      <w:pPr>
        <w:adjustRightInd w:val="0"/>
        <w:snapToGrid w:val="0"/>
        <w:spacing w:line="360" w:lineRule="auto"/>
        <w:rPr>
          <w:rFonts w:ascii="宋体" w:hAnsi="宋体"/>
          <w:sz w:val="24"/>
        </w:rPr>
      </w:pPr>
      <w:r>
        <w:rPr>
          <w:rFonts w:ascii="宋体" w:hAnsi="宋体" w:hint="eastAsia"/>
          <w:sz w:val="24"/>
        </w:rPr>
        <w:t>十五、 财政政策</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财政政策概述</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财政政策的传导和效应</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财政政策与货币政策的配合</w:t>
      </w:r>
    </w:p>
    <w:p w:rsidR="008F165F" w:rsidRDefault="00BB760C">
      <w:pPr>
        <w:numPr>
          <w:ilvl w:val="0"/>
          <w:numId w:val="4"/>
        </w:numPr>
        <w:adjustRightInd w:val="0"/>
        <w:snapToGrid w:val="0"/>
        <w:spacing w:line="360" w:lineRule="auto"/>
        <w:rPr>
          <w:rFonts w:ascii="宋体" w:hAnsi="宋体"/>
          <w:sz w:val="24"/>
        </w:rPr>
      </w:pPr>
      <w:r>
        <w:rPr>
          <w:rFonts w:ascii="宋体" w:hAnsi="宋体" w:hint="eastAsia"/>
          <w:sz w:val="24"/>
        </w:rPr>
        <w:t>我国财政政策的实践和经验</w:t>
      </w:r>
    </w:p>
    <w:p w:rsidR="008F165F" w:rsidRDefault="008F165F">
      <w:pPr>
        <w:rPr>
          <w:rFonts w:ascii="宋体" w:hAnsi="宋体"/>
          <w:sz w:val="24"/>
        </w:rPr>
      </w:pPr>
    </w:p>
    <w:p w:rsidR="008F165F" w:rsidRDefault="00BB760C">
      <w:pPr>
        <w:rPr>
          <w:rFonts w:ascii="宋体" w:hAnsi="宋体"/>
          <w:sz w:val="24"/>
        </w:rPr>
      </w:pPr>
      <w:r>
        <w:rPr>
          <w:rFonts w:ascii="宋体" w:hAnsi="宋体" w:hint="eastAsia"/>
          <w:sz w:val="24"/>
        </w:rPr>
        <w:t>十六、 开放经济下的财政问题</w:t>
      </w:r>
    </w:p>
    <w:p w:rsidR="008F165F" w:rsidRDefault="00BB760C">
      <w:pPr>
        <w:numPr>
          <w:ilvl w:val="0"/>
          <w:numId w:val="4"/>
        </w:numPr>
        <w:adjustRightInd w:val="0"/>
        <w:snapToGrid w:val="0"/>
        <w:spacing w:line="360" w:lineRule="auto"/>
        <w:rPr>
          <w:rFonts w:ascii="宋体" w:hAnsi="宋体"/>
          <w:sz w:val="24"/>
        </w:rPr>
      </w:pPr>
      <w:r>
        <w:rPr>
          <w:rFonts w:ascii="宋体" w:hAnsi="宋体"/>
          <w:sz w:val="24"/>
        </w:rPr>
        <w:t xml:space="preserve">国际税收 </w:t>
      </w:r>
    </w:p>
    <w:p w:rsidR="008F165F" w:rsidRDefault="00BB760C">
      <w:pPr>
        <w:numPr>
          <w:ilvl w:val="0"/>
          <w:numId w:val="4"/>
        </w:numPr>
        <w:adjustRightInd w:val="0"/>
        <w:snapToGrid w:val="0"/>
        <w:spacing w:line="360" w:lineRule="auto"/>
        <w:rPr>
          <w:rFonts w:ascii="宋体" w:hAnsi="宋体"/>
          <w:sz w:val="24"/>
        </w:rPr>
      </w:pPr>
      <w:r>
        <w:rPr>
          <w:rFonts w:ascii="宋体" w:hAnsi="宋体"/>
          <w:sz w:val="24"/>
        </w:rPr>
        <w:t xml:space="preserve">关税 </w:t>
      </w:r>
    </w:p>
    <w:p w:rsidR="008F165F" w:rsidRDefault="00BB760C">
      <w:pPr>
        <w:numPr>
          <w:ilvl w:val="0"/>
          <w:numId w:val="4"/>
        </w:numPr>
        <w:adjustRightInd w:val="0"/>
        <w:snapToGrid w:val="0"/>
        <w:spacing w:line="360" w:lineRule="auto"/>
        <w:rPr>
          <w:rFonts w:ascii="宋体" w:hAnsi="宋体"/>
          <w:sz w:val="24"/>
        </w:rPr>
      </w:pPr>
      <w:r>
        <w:rPr>
          <w:rFonts w:ascii="宋体" w:hAnsi="宋体"/>
          <w:sz w:val="24"/>
        </w:rPr>
        <w:t>出口退税</w:t>
      </w:r>
    </w:p>
    <w:p w:rsidR="008F165F" w:rsidRDefault="00BB760C">
      <w:pPr>
        <w:numPr>
          <w:ilvl w:val="0"/>
          <w:numId w:val="4"/>
        </w:numPr>
        <w:adjustRightInd w:val="0"/>
        <w:snapToGrid w:val="0"/>
        <w:spacing w:line="360" w:lineRule="auto"/>
        <w:rPr>
          <w:rFonts w:ascii="宋体" w:hAnsi="宋体"/>
          <w:sz w:val="24"/>
        </w:rPr>
      </w:pPr>
      <w:r>
        <w:rPr>
          <w:rFonts w:ascii="宋体" w:hAnsi="宋体"/>
          <w:sz w:val="24"/>
        </w:rPr>
        <w:t xml:space="preserve">外债 </w:t>
      </w:r>
    </w:p>
    <w:p w:rsidR="008F165F" w:rsidRDefault="008F165F">
      <w:pPr>
        <w:adjustRightInd w:val="0"/>
        <w:snapToGrid w:val="0"/>
        <w:spacing w:line="360" w:lineRule="auto"/>
        <w:rPr>
          <w:rFonts w:ascii="宋体" w:hAnsi="宋体"/>
          <w:sz w:val="24"/>
        </w:rPr>
      </w:pPr>
    </w:p>
    <w:p w:rsidR="008F165F" w:rsidRDefault="008F165F"/>
    <w:sectPr w:rsidR="008F165F">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2A" w:rsidRDefault="00E2252A">
      <w:r>
        <w:separator/>
      </w:r>
    </w:p>
  </w:endnote>
  <w:endnote w:type="continuationSeparator" w:id="0">
    <w:p w:rsidR="00E2252A" w:rsidRDefault="00E2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F" w:rsidRDefault="00BB760C">
    <w:pPr>
      <w:pStyle w:val="a3"/>
      <w:jc w:val="center"/>
    </w:pPr>
    <w:r>
      <w:fldChar w:fldCharType="begin"/>
    </w:r>
    <w:r>
      <w:rPr>
        <w:rStyle w:val="a5"/>
      </w:rPr>
      <w:instrText xml:space="preserve"> PAGE </w:instrText>
    </w:r>
    <w:r>
      <w:fldChar w:fldCharType="separate"/>
    </w:r>
    <w:r w:rsidR="005B1280">
      <w:rPr>
        <w:rStyle w:val="a5"/>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2A" w:rsidRDefault="00E2252A">
      <w:r>
        <w:separator/>
      </w:r>
    </w:p>
  </w:footnote>
  <w:footnote w:type="continuationSeparator" w:id="0">
    <w:p w:rsidR="00E2252A" w:rsidRDefault="00E2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F" w:rsidRDefault="008F165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4D4F"/>
    <w:multiLevelType w:val="multilevel"/>
    <w:tmpl w:val="1BB94D4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5DF778B"/>
    <w:multiLevelType w:val="multilevel"/>
    <w:tmpl w:val="35DF778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6B1B3B19"/>
    <w:multiLevelType w:val="multilevel"/>
    <w:tmpl w:val="6B1B3B1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75A47380"/>
    <w:multiLevelType w:val="multilevel"/>
    <w:tmpl w:val="75A4738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86509"/>
    <w:rsid w:val="00331F6E"/>
    <w:rsid w:val="005B1280"/>
    <w:rsid w:val="008F165F"/>
    <w:rsid w:val="00BB760C"/>
    <w:rsid w:val="00E2252A"/>
    <w:rsid w:val="00E829E6"/>
    <w:rsid w:val="7978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761</Words>
  <Characters>4338</Characters>
  <Application>Microsoft Office Word</Application>
  <DocSecurity>0</DocSecurity>
  <Lines>36</Lines>
  <Paragraphs>10</Paragraphs>
  <ScaleCrop>false</ScaleCrop>
  <Company>Hewlett-Packard Company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吴玉强(20051927)</cp:lastModifiedBy>
  <cp:revision>6</cp:revision>
  <dcterms:created xsi:type="dcterms:W3CDTF">2021-08-11T00:48:00Z</dcterms:created>
  <dcterms:modified xsi:type="dcterms:W3CDTF">2021-09-06T08:10:00Z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