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黑体"/>
          <w:b/>
          <w:color w:val="000000" w:themeColor="text1"/>
          <w:sz w:val="32"/>
          <w:szCs w:val="32"/>
          <w:lang w:eastAsia="zh-CN"/>
          <w14:textFill>
            <w14:solidFill>
              <w14:schemeClr w14:val="tx1"/>
            </w14:solidFill>
          </w14:textFill>
        </w:rPr>
      </w:pPr>
      <w:r>
        <w:rPr>
          <w:rFonts w:eastAsia="黑体"/>
          <w:b/>
          <w:color w:val="000000" w:themeColor="text1"/>
          <w:sz w:val="32"/>
          <w:szCs w:val="32"/>
          <w14:textFill>
            <w14:solidFill>
              <w14:schemeClr w14:val="tx1"/>
            </w14:solidFill>
          </w14:textFill>
        </w:rPr>
        <w:t>202</w:t>
      </w:r>
      <w:r>
        <w:rPr>
          <w:rFonts w:hint="eastAsia" w:eastAsia="黑体"/>
          <w:b/>
          <w:color w:val="000000" w:themeColor="text1"/>
          <w:sz w:val="32"/>
          <w:szCs w:val="32"/>
          <w:lang w:val="en-US" w:eastAsia="zh-CN"/>
          <w14:textFill>
            <w14:solidFill>
              <w14:schemeClr w14:val="tx1"/>
            </w14:solidFill>
          </w14:textFill>
        </w:rPr>
        <w:t>3</w:t>
      </w:r>
      <w:bookmarkStart w:id="0" w:name="_GoBack"/>
      <w:bookmarkEnd w:id="0"/>
      <w:r>
        <w:rPr>
          <w:rFonts w:eastAsia="黑体"/>
          <w:b/>
          <w:color w:val="000000" w:themeColor="text1"/>
          <w:sz w:val="32"/>
          <w:szCs w:val="32"/>
          <w14:textFill>
            <w14:solidFill>
              <w14:schemeClr w14:val="tx1"/>
            </w14:solidFill>
          </w14:textFill>
        </w:rPr>
        <w:t>年宁波大学硕士研究生招生考试初试科目</w:t>
      </w:r>
    </w:p>
    <w:p>
      <w:pPr>
        <w:spacing w:line="360" w:lineRule="auto"/>
        <w:jc w:val="center"/>
        <w:rPr>
          <w:rFonts w:eastAsia="黑体"/>
          <w:b/>
          <w:color w:val="000000" w:themeColor="text1"/>
          <w:sz w:val="32"/>
          <w:szCs w:val="32"/>
          <w14:textFill>
            <w14:solidFill>
              <w14:schemeClr w14:val="tx1"/>
            </w14:solidFill>
          </w14:textFill>
        </w:rPr>
      </w:pPr>
      <w:r>
        <w:rPr>
          <w:rFonts w:eastAsia="黑体"/>
          <w:b/>
          <w:color w:val="000000" w:themeColor="text1"/>
          <w:sz w:val="32"/>
          <w:szCs w:val="32"/>
          <w14:textFill>
            <w14:solidFill>
              <w14:schemeClr w14:val="tx1"/>
            </w14:solidFill>
          </w14:textFill>
        </w:rPr>
        <w:t>考 试 大 纲</w:t>
      </w:r>
    </w:p>
    <w:p>
      <w:pPr>
        <w:spacing w:line="400" w:lineRule="exact"/>
        <w:jc w:val="center"/>
        <w:rPr>
          <w:rFonts w:eastAsia="黑体"/>
          <w:b/>
          <w:color w:val="000000" w:themeColor="text1"/>
          <w:sz w:val="32"/>
          <w:szCs w:val="32"/>
          <w14:textFill>
            <w14:solidFill>
              <w14:schemeClr w14:val="tx1"/>
            </w14:solidFill>
          </w14:textFill>
        </w:rPr>
      </w:pPr>
    </w:p>
    <w:tbl>
      <w:tblPr>
        <w:tblStyle w:val="7"/>
        <w:tblW w:w="737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43"/>
        <w:gridCol w:w="5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43" w:type="dxa"/>
            <w:vAlign w:val="bottom"/>
          </w:tcPr>
          <w:p>
            <w:pPr>
              <w:spacing w:after="46" w:afterLines="15"/>
              <w:ind w:left="-105" w:leftChars="-50" w:right="-105" w:rightChars="-50"/>
              <w:rPr>
                <w:rFonts w:eastAsiaTheme="minorEastAsia"/>
                <w:b/>
                <w:bCs/>
                <w:color w:val="000000" w:themeColor="text1"/>
                <w:sz w:val="24"/>
                <w14:textFill>
                  <w14:solidFill>
                    <w14:schemeClr w14:val="tx1"/>
                  </w14:solidFill>
                </w14:textFill>
              </w:rPr>
            </w:pPr>
            <w:r>
              <w:rPr>
                <w:rFonts w:eastAsiaTheme="minorEastAsia"/>
                <w:b/>
                <w:bCs/>
                <w:color w:val="000000" w:themeColor="text1"/>
                <w:kern w:val="0"/>
                <w:sz w:val="24"/>
                <w14:textFill>
                  <w14:solidFill>
                    <w14:schemeClr w14:val="tx1"/>
                  </w14:solidFill>
                </w14:textFill>
              </w:rPr>
              <w:t>科目代码、名称:</w:t>
            </w:r>
          </w:p>
        </w:tc>
        <w:tc>
          <w:tcPr>
            <w:tcW w:w="5528" w:type="dxa"/>
            <w:tcBorders>
              <w:top w:val="nil"/>
              <w:left w:val="nil"/>
              <w:bottom w:val="single" w:color="auto" w:sz="4" w:space="0"/>
              <w:right w:val="nil"/>
            </w:tcBorders>
            <w:vAlign w:val="bottom"/>
          </w:tcPr>
          <w:p>
            <w:pPr>
              <w:pStyle w:val="2"/>
              <w:spacing w:before="78" w:beforeLines="25" w:after="31" w:afterLines="10" w:line="240" w:lineRule="auto"/>
              <w:jc w:val="center"/>
              <w:outlineLvl w:val="0"/>
              <w:rPr>
                <w:rFonts w:eastAsiaTheme="minorEastAsia"/>
                <w:color w:val="000000" w:themeColor="text1"/>
                <w:sz w:val="24"/>
                <w:szCs w:val="24"/>
                <w14:textFill>
                  <w14:solidFill>
                    <w14:schemeClr w14:val="tx1"/>
                  </w14:solidFill>
                </w14:textFill>
              </w:rPr>
            </w:pPr>
            <w:r>
              <w:rPr>
                <w:rFonts w:hint="eastAsia" w:eastAsiaTheme="minorEastAsia"/>
                <w:color w:val="000000" w:themeColor="text1"/>
                <w:sz w:val="24"/>
                <w:szCs w:val="24"/>
                <w14:textFill>
                  <w14:solidFill>
                    <w14:schemeClr w14:val="tx1"/>
                  </w14:solidFill>
                </w14:textFill>
              </w:rPr>
              <w:t>349药学综合</w:t>
            </w:r>
          </w:p>
        </w:tc>
      </w:tr>
    </w:tbl>
    <w:p>
      <w:pPr>
        <w:adjustRightInd w:val="0"/>
        <w:snapToGrid w:val="0"/>
        <w:spacing w:line="360" w:lineRule="auto"/>
        <w:rPr>
          <w:rFonts w:eastAsiaTheme="minorEastAsia"/>
          <w:b/>
          <w:color w:val="000000" w:themeColor="text1"/>
          <w:sz w:val="24"/>
          <w14:textFill>
            <w14:solidFill>
              <w14:schemeClr w14:val="tx1"/>
            </w14:solidFill>
          </w14:textFill>
        </w:rPr>
      </w:pPr>
      <w:r>
        <w:rPr>
          <w:rFonts w:eastAsiaTheme="minorEastAsia"/>
          <w:b/>
          <w:color w:val="000000" w:themeColor="text1"/>
          <w:sz w:val="24"/>
          <w14:textFill>
            <w14:solidFill>
              <w14:schemeClr w14:val="tx1"/>
            </w14:solidFill>
          </w14:textFill>
        </w:rPr>
        <w:t>一、考试形式与试卷结构</w:t>
      </w:r>
    </w:p>
    <w:p>
      <w:pPr>
        <w:adjustRightInd w:val="0"/>
        <w:snapToGrid w:val="0"/>
        <w:spacing w:line="360" w:lineRule="auto"/>
        <w:rPr>
          <w:rFonts w:eastAsiaTheme="minorEastAsia"/>
          <w:b/>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（一）试卷满分值及考试时间</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本试卷满分为300分，考试时间为180分钟。</w:t>
      </w:r>
    </w:p>
    <w:p>
      <w:pPr>
        <w:spacing w:line="360" w:lineRule="auto"/>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（二）答题方式</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答题方式为闭卷、笔试。试卷由试题和答题纸组成；答案必须写在答题纸（由考点提供）相应的位置上。</w:t>
      </w:r>
    </w:p>
    <w:p>
      <w:pPr>
        <w:spacing w:line="360" w:lineRule="auto"/>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（三）试卷内容结构</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药学综合试卷内容主要包括有机化学、生物化学和药物化学三部分。有机化学的</w:t>
      </w:r>
      <w:r>
        <w:rPr>
          <w:rFonts w:eastAsiaTheme="minorEastAsia"/>
          <w:color w:val="000000" w:themeColor="text1"/>
          <w:sz w:val="24"/>
          <w14:textFill>
            <w14:solidFill>
              <w14:schemeClr w14:val="tx1"/>
            </w14:solidFill>
          </w14:textFill>
        </w:rPr>
        <w:t>考试内容主要包括</w:t>
      </w:r>
      <w:r>
        <w:rPr>
          <w:rFonts w:hint="eastAsia" w:eastAsiaTheme="minorEastAsia"/>
          <w:color w:val="000000" w:themeColor="text1"/>
          <w:sz w:val="24"/>
          <w14:textFill>
            <w14:solidFill>
              <w14:schemeClr w14:val="tx1"/>
            </w14:solidFill>
          </w14:textFill>
        </w:rPr>
        <w:t>有机化学的基本理论和基础知识，化学物质的性质与结构的关系，光谱学技术分析有机化合物的结构</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有机化学的基本理论和基础知识主要包括有机化合物的同分异构、命名及物性、有机化学反应、有机化学的基本理论及反应机理、有机合成。化学物质的性质与结构的关系主要包括有机立体化学、碳水化合物、油脂、氨基酸、蛋白质、萜类、甾族等天然产物的结构、性质和用途</w:t>
      </w:r>
      <w:r>
        <w:rPr>
          <w:rFonts w:hint="eastAsia" w:eastAsiaTheme="minorEastAsia"/>
          <w:color w:val="FF0000"/>
          <w:sz w:val="24"/>
        </w:rPr>
        <w:t>，</w:t>
      </w:r>
      <w:r>
        <w:rPr>
          <w:rFonts w:hint="eastAsia" w:eastAsiaTheme="minorEastAsia"/>
          <w:color w:val="000000" w:themeColor="text1"/>
          <w:sz w:val="24"/>
          <w14:textFill>
            <w14:solidFill>
              <w14:schemeClr w14:val="tx1"/>
            </w14:solidFill>
          </w14:textFill>
        </w:rPr>
        <w:t>杂环化合物及元素有机化学。光谱学技术分析有机化合物的结构主要包括有机化合物常用的化学、物理鉴定方法。</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生物化学的考试内容主要包括生物化学的基本理论和基础知识，物质的结构与性质，物质的分解代谢和合成代谢。物质的结构和性质的内容主要包括糖类、脂类、氨基酸、蛋白、酶、辅酶、核酸、维生素、激素等物质的结构与性质。物质的代谢包括分解代谢和合成代谢，主要内容包括糖酵解、柠檬酸循环、生物氧化、戊糖磷酸化途径、糖异生、糖原分解、脂类的分解和合成代谢，蛋白质的分解和合成，核酸的分解与合成代谢等。</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药物化学的考试内容主要包括药物化学的基本理论和基础知识，药物的分类与用途，药物的合成方法与构效关系，药物的作用机理与作用方式，以及药物设计的方法与原理。药物的分类与用途的内容包括不同用途的药物分类。药物的合成方法与构效关系包括常见药物（比如可卡因、巴比妥等）的合成方法以及结构与构效之间的关系。药物的作用机理与作用方式，主要内容包括常见药物作用于机体的分子机制。药物设计的方法与原理，主要内容包括药物设计的基本原理以及计算机辅助药物设计。</w:t>
      </w:r>
    </w:p>
    <w:p>
      <w:pPr>
        <w:spacing w:line="360" w:lineRule="auto"/>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（四）试卷题型结构</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1. </w:t>
      </w:r>
      <w:r>
        <w:rPr>
          <w:rFonts w:hint="eastAsia" w:eastAsiaTheme="minorEastAsia"/>
          <w:color w:val="000000" w:themeColor="text1"/>
          <w:sz w:val="24"/>
          <w14:textFill>
            <w14:solidFill>
              <w14:schemeClr w14:val="tx1"/>
            </w14:solidFill>
          </w14:textFill>
        </w:rPr>
        <w:t>名词解释</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2. </w:t>
      </w:r>
      <w:r>
        <w:rPr>
          <w:rFonts w:hint="eastAsia" w:eastAsiaTheme="minorEastAsia"/>
          <w:color w:val="000000" w:themeColor="text1"/>
          <w:sz w:val="24"/>
          <w14:textFill>
            <w14:solidFill>
              <w14:schemeClr w14:val="tx1"/>
            </w14:solidFill>
          </w14:textFill>
        </w:rPr>
        <w:t>选择题</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3</w:t>
      </w:r>
      <w:r>
        <w:rPr>
          <w:rFonts w:eastAsiaTheme="minorEastAsia"/>
          <w:color w:val="000000" w:themeColor="text1"/>
          <w:sz w:val="24"/>
          <w14:textFill>
            <w14:solidFill>
              <w14:schemeClr w14:val="tx1"/>
            </w14:solidFill>
          </w14:textFill>
        </w:rPr>
        <w:t xml:space="preserve">. </w:t>
      </w:r>
      <w:r>
        <w:rPr>
          <w:rFonts w:hint="eastAsia" w:eastAsiaTheme="minorEastAsia"/>
          <w:color w:val="000000" w:themeColor="text1"/>
          <w:sz w:val="24"/>
          <w14:textFill>
            <w14:solidFill>
              <w14:schemeClr w14:val="tx1"/>
            </w14:solidFill>
          </w14:textFill>
        </w:rPr>
        <w:t>问答题</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4. </w:t>
      </w:r>
      <w:r>
        <w:rPr>
          <w:rFonts w:hint="eastAsia" w:eastAsiaTheme="minorEastAsia"/>
          <w:color w:val="000000" w:themeColor="text1"/>
          <w:sz w:val="24"/>
          <w14:textFill>
            <w14:solidFill>
              <w14:schemeClr w14:val="tx1"/>
            </w14:solidFill>
          </w14:textFill>
        </w:rPr>
        <w:t>综合题</w:t>
      </w:r>
    </w:p>
    <w:p>
      <w:pPr>
        <w:spacing w:line="360" w:lineRule="auto"/>
        <w:jc w:val="left"/>
        <w:rPr>
          <w:rFonts w:hint="eastAsia" w:eastAsiaTheme="minorEastAsia"/>
          <w:b/>
          <w:bCs/>
          <w:color w:val="000000" w:themeColor="text1"/>
          <w:sz w:val="24"/>
          <w14:textFill>
            <w14:solidFill>
              <w14:schemeClr w14:val="tx1"/>
            </w14:solidFill>
          </w14:textFill>
        </w:rPr>
      </w:pPr>
    </w:p>
    <w:p>
      <w:pPr>
        <w:spacing w:line="360" w:lineRule="auto"/>
        <w:jc w:val="left"/>
        <w:rPr>
          <w:rFonts w:eastAsiaTheme="minorEastAsia"/>
          <w:b/>
          <w:bCs/>
          <w:color w:val="000000" w:themeColor="text1"/>
          <w:sz w:val="24"/>
          <w14:textFill>
            <w14:solidFill>
              <w14:schemeClr w14:val="tx1"/>
            </w14:solidFill>
          </w14:textFill>
        </w:rPr>
      </w:pPr>
      <w:r>
        <w:rPr>
          <w:rFonts w:hint="eastAsia" w:eastAsiaTheme="minorEastAsia"/>
          <w:b/>
          <w:bCs/>
          <w:color w:val="000000" w:themeColor="text1"/>
          <w:sz w:val="24"/>
          <w14:textFill>
            <w14:solidFill>
              <w14:schemeClr w14:val="tx1"/>
            </w14:solidFill>
          </w14:textFill>
        </w:rPr>
        <w:t>有机化学部分：</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一</w:t>
      </w:r>
      <w:r>
        <w:rPr>
          <w:rFonts w:eastAsiaTheme="minorEastAsia"/>
          <w:b/>
          <w:color w:val="000000" w:themeColor="text1"/>
          <w:sz w:val="24"/>
          <w14:textFill>
            <w14:solidFill>
              <w14:schemeClr w14:val="tx1"/>
            </w14:solidFill>
          </w14:textFill>
        </w:rPr>
        <w:t>、考查目标</w:t>
      </w:r>
    </w:p>
    <w:p>
      <w:pPr>
        <w:spacing w:line="360" w:lineRule="auto"/>
        <w:ind w:firstLine="600" w:firstLineChars="2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课程考试目的在于测试考生</w:t>
      </w:r>
      <w:r>
        <w:rPr>
          <w:rFonts w:hint="eastAsia" w:eastAsiaTheme="minorEastAsia"/>
          <w:color w:val="000000" w:themeColor="text1"/>
          <w:sz w:val="24"/>
          <w14:textFill>
            <w14:solidFill>
              <w14:schemeClr w14:val="tx1"/>
            </w14:solidFill>
          </w14:textFill>
        </w:rPr>
        <w:t>能够综合运用基础理论知识和技术手段，分析在实际或生活中有机化学和生物化学在食品和医药领域的应用实例</w:t>
      </w:r>
      <w:r>
        <w:rPr>
          <w:rFonts w:eastAsiaTheme="minorEastAsia"/>
          <w:color w:val="000000" w:themeColor="text1"/>
          <w:sz w:val="24"/>
          <w14:textFill>
            <w14:solidFill>
              <w14:schemeClr w14:val="tx1"/>
            </w14:solidFill>
          </w14:textFill>
        </w:rPr>
        <w:t>。</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二</w:t>
      </w:r>
      <w:r>
        <w:rPr>
          <w:rFonts w:eastAsiaTheme="minorEastAsia"/>
          <w:b/>
          <w:color w:val="000000" w:themeColor="text1"/>
          <w:sz w:val="24"/>
          <w14:textFill>
            <w14:solidFill>
              <w14:schemeClr w14:val="tx1"/>
            </w14:solidFill>
          </w14:textFill>
        </w:rPr>
        <w:t>、考查范围或考试内容概要</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1、有机化合物的同分异构、命名及物性</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（1）有机化合物的同分异构现象</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（2）有机化合物结构式的表示方法</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（3）有机化合物的普通命名及国际 IUPAC 命名原则和中国化学会命名原则的关系</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（4）有机化合物的物理性质及其结构关系</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2、有机化学反应</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（1）重要官能团化合物的典型反应及相互转换的常用方法</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重要官能团化合物：烷烃、烯烃、炔烃、卤代烃、芳烃、醇、酚、醚、醛、酮、醌、羧酸及其衍生物、胺及其他含氮化合物、简单的杂环体系</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（2）主要有机反应：取代反应、加成反应、消除反应、缩合反应、氧化还原反应、重排反应、自由基反应、周环反应。</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3、有机化学的基本理论及反应机理</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（1）诱导效应、共轭效应、超共轭效应、立体效应</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（2）碳正离子、碳负离子、碳自由基、卡宾、苯炔等活性中间体</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（3）共振论简介、有机反应势能图及相关概念</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（4）简单有机反应机理的表达</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4、有机合成</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（1）官能团导入、转换、保护。</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（2）碳碳键形成及断裂的基本方法</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5、有机立体化学</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（1）几何异构、对映异构、构象异构等静态立体化学的基本概念</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（2）外消旋体的拆分方法、不对称合成简介</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（3）取代、加成、消除、重排、周环反应的立体化学</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6、有机化合物的常用的化学、物理鉴定方法</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（1）常见官能团的特征化学鉴别方法</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（2）常见有机化合物的红外（IR）、 核磁共振谱（NMR）和质谱(MS)的谱学特征</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（3）运用化学方法及谱学对简单有机化合物进行结构鉴定</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7、杂环化合物及元素有机化学</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含 N， S， O 等的五、六元杂环化合物、及其他结构的有机硫、磷、硅化合物</w:t>
      </w:r>
    </w:p>
    <w:p>
      <w:pPr>
        <w:spacing w:before="31" w:beforeLines="10" w:after="31" w:afterLines="10" w:line="360" w:lineRule="auto"/>
        <w:rPr>
          <w:rFonts w:eastAsiaTheme="minorEastAsia"/>
          <w:bCs/>
          <w:color w:val="000000" w:themeColor="text1"/>
          <w:sz w:val="24"/>
          <w14:textFill>
            <w14:solidFill>
              <w14:schemeClr w14:val="tx1"/>
            </w14:solidFill>
          </w14:textFill>
        </w:rPr>
      </w:pPr>
      <w:r>
        <w:rPr>
          <w:rFonts w:hint="eastAsia" w:eastAsiaTheme="minorEastAsia"/>
          <w:bCs/>
          <w:color w:val="000000" w:themeColor="text1"/>
          <w:sz w:val="24"/>
          <w14:textFill>
            <w14:solidFill>
              <w14:schemeClr w14:val="tx1"/>
            </w14:solidFill>
          </w14:textFill>
        </w:rPr>
        <w:t>8、碳水化合物、油脂、氨基酸、蛋白质、萜类、甾体等天然产物的结构、性质和用途</w:t>
      </w:r>
    </w:p>
    <w:p>
      <w:pPr>
        <w:spacing w:before="31" w:beforeLines="10" w:after="31" w:afterLines="10" w:line="360" w:lineRule="auto"/>
        <w:rPr>
          <w:rFonts w:eastAsiaTheme="minorEastAsia"/>
          <w:b/>
          <w:color w:val="000000" w:themeColor="text1"/>
          <w:sz w:val="24"/>
          <w14:textFill>
            <w14:solidFill>
              <w14:schemeClr w14:val="tx1"/>
            </w14:solidFill>
          </w14:textFill>
        </w:rPr>
      </w:pPr>
    </w:p>
    <w:p>
      <w:pPr>
        <w:spacing w:before="31" w:beforeLines="10" w:after="31" w:afterLines="10" w:line="360" w:lineRule="auto"/>
        <w:rPr>
          <w:color w:val="000000" w:themeColor="text1"/>
          <w:sz w:val="24"/>
          <w14:textFill>
            <w14:solidFill>
              <w14:schemeClr w14:val="tx1"/>
            </w14:solidFill>
          </w14:textFill>
        </w:rPr>
      </w:pPr>
      <w:r>
        <w:rPr>
          <w:b/>
          <w:color w:val="000000" w:themeColor="text1"/>
          <w:sz w:val="24"/>
          <w14:textFill>
            <w14:solidFill>
              <w14:schemeClr w14:val="tx1"/>
            </w14:solidFill>
          </w14:textFill>
        </w:rPr>
        <w:t>参考教材或主要参考书</w:t>
      </w:r>
      <w:r>
        <w:rPr>
          <w:color w:val="000000" w:themeColor="text1"/>
          <w:sz w:val="24"/>
          <w14:textFill>
            <w14:solidFill>
              <w14:schemeClr w14:val="tx1"/>
            </w14:solidFill>
          </w14:textFill>
        </w:rPr>
        <w:t>：</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《有机化学》（第六版），赵温涛 主编，</w:t>
      </w:r>
      <w:r>
        <w:rPr>
          <w:rFonts w:eastAsiaTheme="minorEastAsia"/>
          <w:color w:val="000000" w:themeColor="text1"/>
          <w:sz w:val="24"/>
          <w14:textFill>
            <w14:solidFill>
              <w14:schemeClr w14:val="tx1"/>
            </w14:solidFill>
          </w14:textFill>
        </w:rPr>
        <w:t>高等教育出版社，20</w:t>
      </w:r>
      <w:r>
        <w:rPr>
          <w:rFonts w:hint="eastAsia" w:eastAsiaTheme="minorEastAsia"/>
          <w:color w:val="000000" w:themeColor="text1"/>
          <w:sz w:val="24"/>
          <w14:textFill>
            <w14:solidFill>
              <w14:schemeClr w14:val="tx1"/>
            </w14:solidFill>
          </w14:textFill>
        </w:rPr>
        <w:t>19。</w:t>
      </w:r>
    </w:p>
    <w:p>
      <w:pPr>
        <w:adjustRightInd w:val="0"/>
        <w:snapToGrid w:val="0"/>
        <w:spacing w:line="360" w:lineRule="auto"/>
        <w:rPr>
          <w:rFonts w:eastAsiaTheme="minorEastAsia"/>
          <w:b/>
          <w:color w:val="000000" w:themeColor="text1"/>
          <w:sz w:val="24"/>
          <w14:textFill>
            <w14:solidFill>
              <w14:schemeClr w14:val="tx1"/>
            </w14:solidFill>
          </w14:textFill>
        </w:rPr>
      </w:pPr>
    </w:p>
    <w:p>
      <w:pPr>
        <w:adjustRightInd w:val="0"/>
        <w:snapToGrid w:val="0"/>
        <w:spacing w:line="360" w:lineRule="auto"/>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生物化学部分：</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一</w:t>
      </w:r>
      <w:r>
        <w:rPr>
          <w:rFonts w:eastAsiaTheme="minorEastAsia"/>
          <w:b/>
          <w:color w:val="000000" w:themeColor="text1"/>
          <w:sz w:val="24"/>
          <w14:textFill>
            <w14:solidFill>
              <w14:schemeClr w14:val="tx1"/>
            </w14:solidFill>
          </w14:textFill>
        </w:rPr>
        <w:t>、考查目标</w:t>
      </w:r>
    </w:p>
    <w:p>
      <w:pPr>
        <w:spacing w:line="360" w:lineRule="auto"/>
        <w:ind w:firstLine="600" w:firstLineChars="2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课程考试目的在于测试考生</w:t>
      </w:r>
      <w:r>
        <w:rPr>
          <w:rFonts w:hint="eastAsia" w:eastAsiaTheme="minorEastAsia"/>
          <w:color w:val="000000" w:themeColor="text1"/>
          <w:sz w:val="24"/>
          <w14:textFill>
            <w14:solidFill>
              <w14:schemeClr w14:val="tx1"/>
            </w14:solidFill>
          </w14:textFill>
        </w:rPr>
        <w:t>能够综合运用基础理论知识和技术手段，分析在实际或生活中生物化学在药学领域的应用实例</w:t>
      </w:r>
      <w:r>
        <w:rPr>
          <w:rFonts w:eastAsiaTheme="minorEastAsia"/>
          <w:color w:val="000000" w:themeColor="text1"/>
          <w:sz w:val="24"/>
          <w14:textFill>
            <w14:solidFill>
              <w14:schemeClr w14:val="tx1"/>
            </w14:solidFill>
          </w14:textFill>
        </w:rPr>
        <w:t>。</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二</w:t>
      </w:r>
      <w:r>
        <w:rPr>
          <w:rFonts w:eastAsiaTheme="minorEastAsia"/>
          <w:b/>
          <w:color w:val="000000" w:themeColor="text1"/>
          <w:sz w:val="24"/>
          <w14:textFill>
            <w14:solidFill>
              <w14:schemeClr w14:val="tx1"/>
            </w14:solidFill>
          </w14:textFill>
        </w:rPr>
        <w:t>、考查范围或考试内容概要</w:t>
      </w:r>
    </w:p>
    <w:p>
      <w:pPr>
        <w:spacing w:line="360" w:lineRule="auto"/>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 xml:space="preserve">第一章  </w:t>
      </w:r>
      <w:r>
        <w:rPr>
          <w:rFonts w:hint="eastAsia" w:eastAsiaTheme="minorEastAsia"/>
          <w:color w:val="000000" w:themeColor="text1"/>
          <w:kern w:val="0"/>
          <w:sz w:val="24"/>
          <w14:textFill>
            <w14:solidFill>
              <w14:schemeClr w14:val="tx1"/>
            </w14:solidFill>
          </w14:textFill>
        </w:rPr>
        <w:t>糖类</w:t>
      </w:r>
    </w:p>
    <w:p>
      <w:pPr>
        <w:spacing w:line="360" w:lineRule="auto"/>
        <w:ind w:firstLine="480" w:firstLineChars="200"/>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旋光异构，单糖的结构和性质，重要的单糖和单糖衍生物。寡糖的结构和性质，常见的二糖，多糖以及糖蛋白等</w:t>
      </w:r>
      <w:r>
        <w:rPr>
          <w:rFonts w:eastAsiaTheme="minorEastAsia"/>
          <w:color w:val="000000" w:themeColor="text1"/>
          <w:kern w:val="0"/>
          <w:sz w:val="24"/>
          <w14:textFill>
            <w14:solidFill>
              <w14:schemeClr w14:val="tx1"/>
            </w14:solidFill>
          </w14:textFill>
        </w:rPr>
        <w:t>。</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 xml:space="preserve">第二章  </w:t>
      </w:r>
      <w:r>
        <w:rPr>
          <w:rFonts w:hint="eastAsia" w:eastAsiaTheme="minorEastAsia"/>
          <w:color w:val="000000" w:themeColor="text1"/>
          <w:kern w:val="0"/>
          <w:sz w:val="24"/>
          <w14:textFill>
            <w14:solidFill>
              <w14:schemeClr w14:val="tx1"/>
            </w14:solidFill>
          </w14:textFill>
        </w:rPr>
        <w:t>脂类</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脂肪酸，三酰甘油和蜡，脂质过氧化作用，磷脂，糖脂，萜，类固醇，脂蛋白，脂质的提取、分离与分析。</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 xml:space="preserve">第三章  </w:t>
      </w:r>
      <w:r>
        <w:rPr>
          <w:rFonts w:hint="eastAsia" w:eastAsiaTheme="minorEastAsia"/>
          <w:color w:val="000000" w:themeColor="text1"/>
          <w:kern w:val="0"/>
          <w:sz w:val="24"/>
          <w14:textFill>
            <w14:solidFill>
              <w14:schemeClr w14:val="tx1"/>
            </w14:solidFill>
          </w14:textFill>
        </w:rPr>
        <w:t>氨基酸</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氨基酸的结构和命名，氨基酸的酸碱化学、氨基酸的化学反应、氨基酸的光学活性、氨基酸的光谱性质和分析分离。</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 xml:space="preserve">第四章  </w:t>
      </w:r>
      <w:r>
        <w:rPr>
          <w:rFonts w:hint="eastAsia" w:eastAsiaTheme="minorEastAsia"/>
          <w:color w:val="000000" w:themeColor="text1"/>
          <w:kern w:val="0"/>
          <w:sz w:val="24"/>
          <w14:textFill>
            <w14:solidFill>
              <w14:schemeClr w14:val="tx1"/>
            </w14:solidFill>
          </w14:textFill>
        </w:rPr>
        <w:t>蛋白质的共价结构</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肽键、一级结构测定、蛋白质的氨基酸序列与生物功能的关系、肽和蛋白质的人工合成。</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五</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蛋白质的三维结构</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研究蛋白质构象的方法，稳定蛋白质三维结构的作用力，多肽主链折叠的空间限制，二级结构，超二级结构，结构域，三级结构，四级结构等。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第六章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蛋白质结构与功能的关系</w:t>
      </w:r>
    </w:p>
    <w:p>
      <w:pPr>
        <w:autoSpaceDE w:val="0"/>
        <w:autoSpaceDN w:val="0"/>
        <w:spacing w:line="360" w:lineRule="auto"/>
        <w:ind w:firstLine="240" w:firstLineChars="1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肌红蛋白、血红蛋白的结构和功能，血红蛋白分子病，免疫系统和免疫球蛋白等。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第七章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蛋白质的分离、纯化和表征</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蛋白质的酸碱性，蛋白质分子的大小与形状，蛋白质的胶体性质与蛋白质的沉淀，蛋白质分离纯化的一般原则，蛋白质的分离纯化的方法等。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第八章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酶通论</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酶催化作用的特点，酶的化学本质及其组成，酶的命名和分类，酶的专一性，酶的活力测定和分离纯化，核酶和抗体酶等。</w:t>
      </w:r>
    </w:p>
    <w:p>
      <w:pPr>
        <w:spacing w:line="360" w:lineRule="auto"/>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九</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酶促反应动力学</w:t>
      </w:r>
    </w:p>
    <w:p>
      <w:pPr>
        <w:spacing w:line="360" w:lineRule="auto"/>
        <w:ind w:firstLine="480" w:firstLineChars="200"/>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化学动力学基础，底物浓度对酶反应速率的影响，酶的抑制作用，温度、p</w:t>
      </w:r>
      <w:r>
        <w:rPr>
          <w:rFonts w:eastAsiaTheme="minorEastAsia"/>
          <w:color w:val="000000" w:themeColor="text1"/>
          <w:kern w:val="0"/>
          <w:sz w:val="24"/>
          <w14:textFill>
            <w14:solidFill>
              <w14:schemeClr w14:val="tx1"/>
            </w14:solidFill>
          </w14:textFill>
        </w:rPr>
        <w:t>H</w:t>
      </w:r>
      <w:r>
        <w:rPr>
          <w:rFonts w:hint="eastAsia" w:eastAsiaTheme="minorEastAsia"/>
          <w:color w:val="000000" w:themeColor="text1"/>
          <w:kern w:val="0"/>
          <w:sz w:val="24"/>
          <w14:textFill>
            <w14:solidFill>
              <w14:schemeClr w14:val="tx1"/>
            </w14:solidFill>
          </w14:textFill>
        </w:rPr>
        <w:t>和激活剂对酶反应的影响</w:t>
      </w:r>
      <w:r>
        <w:rPr>
          <w:rFonts w:eastAsiaTheme="minorEastAsia"/>
          <w:color w:val="000000" w:themeColor="text1"/>
          <w:kern w:val="0"/>
          <w:sz w:val="24"/>
          <w14:textFill>
            <w14:solidFill>
              <w14:schemeClr w14:val="tx1"/>
            </w14:solidFill>
          </w14:textFill>
        </w:rPr>
        <w:t>。</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酶的作用机制和酶的调节</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酶的活性部位，酶催化反应的独特性质，影响催化效率的有关因素，酶催化反应机制的实例，酶活性的调节控制和同工酶等。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十一</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维生素和辅酶</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脂溶性维生素，水溶性维生素和作为辅酶的金属离子等。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十二</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核酸通论</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核酸的种类和分布，核酸的生物功能等。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十三</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核酸结构</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核苷酸、核酸的共价结构，D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的高级结构，R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的高级结构。</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第十四章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核酸的物理化学性质</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核酸的水解，核酸的酸碱性质，核酸的紫外吸收，核酸的变性、复性及杂交。</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第十五章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核酸的研究方法</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核酸的分离、提纯和定量测定，核酸的超速离心、凝胶电泳和核酸的核苷酸序列测定、D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聚合酶链反应，D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的化学合成等。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第十六章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抗生素</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一些重要抗生素的化学和医疗特性，抗生素的抗菌作用机制，细菌对抗生素耐药性的生物化学机制等。</w:t>
      </w:r>
    </w:p>
    <w:p>
      <w:pPr>
        <w:spacing w:line="360" w:lineRule="auto"/>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十七</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激素</w:t>
      </w:r>
    </w:p>
    <w:p>
      <w:pPr>
        <w:spacing w:line="360" w:lineRule="auto"/>
        <w:ind w:firstLine="480" w:firstLineChars="200"/>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激素的合成与分泌，激素的作用机制研究，激酶分泌的调节等</w:t>
      </w:r>
      <w:r>
        <w:rPr>
          <w:rFonts w:eastAsiaTheme="minorEastAsia"/>
          <w:color w:val="000000" w:themeColor="text1"/>
          <w:kern w:val="0"/>
          <w:sz w:val="24"/>
          <w14:textFill>
            <w14:solidFill>
              <w14:schemeClr w14:val="tx1"/>
            </w14:solidFill>
          </w14:textFill>
        </w:rPr>
        <w:t>。</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十八</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生物膜的组成与结构</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生物膜的组成和性质，生物膜的分子结构等。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十九</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代谢总论</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辅酶I，辅酶I</w:t>
      </w:r>
      <w:r>
        <w:rPr>
          <w:rFonts w:eastAsiaTheme="minorEastAsia"/>
          <w:color w:val="000000" w:themeColor="text1"/>
          <w:kern w:val="0"/>
          <w:sz w:val="24"/>
          <w14:textFill>
            <w14:solidFill>
              <w14:schemeClr w14:val="tx1"/>
            </w14:solidFill>
          </w14:textFill>
        </w:rPr>
        <w:t>I</w:t>
      </w:r>
      <w:r>
        <w:rPr>
          <w:rFonts w:hint="eastAsia" w:eastAsiaTheme="minorEastAsia"/>
          <w:color w:val="000000" w:themeColor="text1"/>
          <w:kern w:val="0"/>
          <w:sz w:val="24"/>
          <w14:textFill>
            <w14:solidFill>
              <w14:schemeClr w14:val="tx1"/>
            </w14:solidFill>
          </w14:textFill>
        </w:rPr>
        <w:t>，辅酶A在能量代谢中的作用，代谢中常见的有机反应机制等。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生物能学</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热力学第一定律，热力学第二定律，焓、熵和自由能的概念，化学反应中自由能的变化和意义，高能磷酸化合物等。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二十一</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生物膜与物质运输</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被动运输与主动运输，小分子物质的运输，生物大分子的跨膜运输，离子载体等。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第二十二章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糖酵解作用</w:t>
      </w:r>
    </w:p>
    <w:p>
      <w:pPr>
        <w:autoSpaceDE w:val="0"/>
        <w:autoSpaceDN w:val="0"/>
        <w:spacing w:line="360" w:lineRule="auto"/>
        <w:ind w:firstLine="240" w:firstLineChars="1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糖酵解第一阶段的反应机制，糖酵解第二阶段的反应机制，糖酵解的能量估算，丙酮酸的去路，糖酵解作用的调节，其它六糖进入糖酵解途径。</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第二十三章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柠檬酸循环</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丙酮酸进入柠檬酸循环的准备阶段，柠檬酸循环概貌和反应机制，柠檬酸循环的化学总结算，柠檬酸循环的调控等等。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第二十四章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生物氧化——电子传递和氧化磷酸化作用</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氧化还原电势，电子传递和氧化呼吸链，氧化磷酸化等。</w:t>
      </w:r>
    </w:p>
    <w:p>
      <w:pPr>
        <w:spacing w:line="360" w:lineRule="auto"/>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二十五</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戊糖磷酸途径和糖的其他代谢途径</w:t>
      </w:r>
    </w:p>
    <w:p>
      <w:pPr>
        <w:spacing w:line="360" w:lineRule="auto"/>
        <w:ind w:firstLine="480" w:firstLineChars="200"/>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戊糖磷酸途径，葡糖异生作用，葡萄糖出入动物细胞的特殊运载机构，乙醛酸途径，寡糖类的生物合成和分解等</w:t>
      </w:r>
      <w:r>
        <w:rPr>
          <w:rFonts w:eastAsiaTheme="minorEastAsia"/>
          <w:color w:val="000000" w:themeColor="text1"/>
          <w:kern w:val="0"/>
          <w:sz w:val="24"/>
          <w14:textFill>
            <w14:solidFill>
              <w14:schemeClr w14:val="tx1"/>
            </w14:solidFill>
          </w14:textFill>
        </w:rPr>
        <w:t>。</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二十六</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糖原的分解和生物合成</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糖原降解，糖原的生物合成，糖原代谢的调控等。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二十七</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脂肪酸的分解代谢</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脂质的消化、吸收和传送，脂肪酸的氧化，不饱和脂肪酸的氧化，酮体，磷脂的代谢，鞘脂类的代谢，甾醇的代谢，脂肪酸代谢的调节等。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二十八</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脂类的生物合成</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贮存脂肪，脂类合成。</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eastAsiaTheme="minorEastAsia"/>
          <w:color w:val="000000" w:themeColor="text1"/>
          <w:kern w:val="0"/>
          <w:sz w:val="24"/>
          <w14:textFill>
            <w14:solidFill>
              <w14:schemeClr w14:val="tx1"/>
            </w14:solidFill>
          </w14:textFill>
        </w:rPr>
        <w:t>第</w:t>
      </w:r>
      <w:r>
        <w:rPr>
          <w:rFonts w:hint="eastAsia" w:eastAsiaTheme="minorEastAsia"/>
          <w:color w:val="000000" w:themeColor="text1"/>
          <w:kern w:val="0"/>
          <w:sz w:val="24"/>
          <w14:textFill>
            <w14:solidFill>
              <w14:schemeClr w14:val="tx1"/>
            </w14:solidFill>
          </w14:textFill>
        </w:rPr>
        <w:t>二十九</w:t>
      </w:r>
      <w:r>
        <w:rPr>
          <w:rFonts w:eastAsiaTheme="minorEastAsia"/>
          <w:color w:val="000000" w:themeColor="text1"/>
          <w:kern w:val="0"/>
          <w:sz w:val="24"/>
          <w14:textFill>
            <w14:solidFill>
              <w14:schemeClr w14:val="tx1"/>
            </w14:solidFill>
          </w14:textFill>
        </w:rPr>
        <w:t xml:space="preserve">章  </w:t>
      </w:r>
      <w:r>
        <w:rPr>
          <w:rFonts w:hint="eastAsia" w:eastAsiaTheme="minorEastAsia"/>
          <w:color w:val="000000" w:themeColor="text1"/>
          <w:kern w:val="0"/>
          <w:sz w:val="24"/>
          <w14:textFill>
            <w14:solidFill>
              <w14:schemeClr w14:val="tx1"/>
            </w14:solidFill>
          </w14:textFill>
        </w:rPr>
        <w:t>蛋白质降解和氨基酸的分解代谢</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蛋白质的降解，核苷酸分解代谢，尿素的形成，氨基酸骨架的氧化途径，生糖氨基酸和生酮氨基酸等。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第三十章  氨基酸及其重要衍生物的生物合成</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脂肪族氨基酸的生物合成，芳香族氨基酸及组氨酸的生物合成，氨基酸生物合成的调节，氨基酸转化为其他氨基酸等。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第三十一章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核酸的降解和核苷酸代谢</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核酸和核苷酸的代谢分解，核苷酸的生物合成，辅酶核苷酸的生物合成等。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第三十二章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的复制、修复和重组</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复制，D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的损伤修复，D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的突变，D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的重组等。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第三十三章  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的生物合成和加工</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指导下R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的合成，R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的转录后加工，在R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指导下R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和D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的合成等。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第三十四章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遗传密码</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D</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是遗传信息的携带分子，R</w:t>
      </w:r>
      <w:r>
        <w:rPr>
          <w:rFonts w:eastAsiaTheme="minorEastAsia"/>
          <w:color w:val="000000" w:themeColor="text1"/>
          <w:kern w:val="0"/>
          <w:sz w:val="24"/>
          <w14:textFill>
            <w14:solidFill>
              <w14:schemeClr w14:val="tx1"/>
            </w14:solidFill>
          </w14:textFill>
        </w:rPr>
        <w:t>NA</w:t>
      </w:r>
      <w:r>
        <w:rPr>
          <w:rFonts w:hint="eastAsia" w:eastAsiaTheme="minorEastAsia"/>
          <w:color w:val="000000" w:themeColor="text1"/>
          <w:kern w:val="0"/>
          <w:sz w:val="24"/>
          <w14:textFill>
            <w14:solidFill>
              <w14:schemeClr w14:val="tx1"/>
            </w14:solidFill>
          </w14:textFill>
        </w:rPr>
        <w:t>传递和加工遗传信息，遗传密码的破译，遗传密码的基本特性等。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第三十五章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蛋白质合成及转运</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蛋白质合成的分子基础，翻译的步骤，蛋白质的运输及翻译后修饰等。</w:t>
      </w:r>
    </w:p>
    <w:p>
      <w:pPr>
        <w:autoSpaceDE w:val="0"/>
        <w:autoSpaceDN w:val="0"/>
        <w:spacing w:line="360" w:lineRule="auto"/>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 xml:space="preserve">第三十六章 </w:t>
      </w:r>
      <w:r>
        <w:rPr>
          <w:rFonts w:eastAsiaTheme="minorEastAsia"/>
          <w:color w:val="000000" w:themeColor="text1"/>
          <w:kern w:val="0"/>
          <w:sz w:val="24"/>
          <w14:textFill>
            <w14:solidFill>
              <w14:schemeClr w14:val="tx1"/>
            </w14:solidFill>
          </w14:textFill>
        </w:rPr>
        <w:t xml:space="preserve"> </w:t>
      </w:r>
      <w:r>
        <w:rPr>
          <w:rFonts w:hint="eastAsia" w:eastAsiaTheme="minorEastAsia"/>
          <w:color w:val="000000" w:themeColor="text1"/>
          <w:kern w:val="0"/>
          <w:sz w:val="24"/>
          <w14:textFill>
            <w14:solidFill>
              <w14:schemeClr w14:val="tx1"/>
            </w14:solidFill>
          </w14:textFill>
        </w:rPr>
        <w:t>细胞代谢与基因表达调控</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r>
        <w:rPr>
          <w:rFonts w:hint="eastAsia" w:eastAsiaTheme="minorEastAsia"/>
          <w:color w:val="000000" w:themeColor="text1"/>
          <w:kern w:val="0"/>
          <w:sz w:val="24"/>
          <w14:textFill>
            <w14:solidFill>
              <w14:schemeClr w14:val="tx1"/>
            </w14:solidFill>
          </w14:textFill>
        </w:rPr>
        <w:t>细胞代谢的调节网络，酶活性的调节，细胞结构对代谢途径的分隔控制，细胞信号传递系统等。</w:t>
      </w:r>
    </w:p>
    <w:p>
      <w:pPr>
        <w:autoSpaceDE w:val="0"/>
        <w:autoSpaceDN w:val="0"/>
        <w:spacing w:line="360" w:lineRule="auto"/>
        <w:ind w:firstLine="480" w:firstLineChars="200"/>
        <w:jc w:val="left"/>
        <w:rPr>
          <w:rFonts w:eastAsiaTheme="minorEastAsia"/>
          <w:color w:val="000000" w:themeColor="text1"/>
          <w:kern w:val="0"/>
          <w:sz w:val="24"/>
          <w14:textFill>
            <w14:solidFill>
              <w14:schemeClr w14:val="tx1"/>
            </w14:solidFill>
          </w14:textFill>
        </w:rPr>
      </w:pPr>
    </w:p>
    <w:p>
      <w:pPr>
        <w:spacing w:before="31" w:beforeLines="10" w:after="31" w:afterLines="10" w:line="360" w:lineRule="auto"/>
        <w:rPr>
          <w:color w:val="000000" w:themeColor="text1"/>
          <w:sz w:val="24"/>
          <w14:textFill>
            <w14:solidFill>
              <w14:schemeClr w14:val="tx1"/>
            </w14:solidFill>
          </w14:textFill>
        </w:rPr>
      </w:pPr>
      <w:r>
        <w:rPr>
          <w:b/>
          <w:color w:val="000000" w:themeColor="text1"/>
          <w:sz w:val="24"/>
          <w14:textFill>
            <w14:solidFill>
              <w14:schemeClr w14:val="tx1"/>
            </w14:solidFill>
          </w14:textFill>
        </w:rPr>
        <w:t>参考教材或主要参考书</w:t>
      </w:r>
      <w:r>
        <w:rPr>
          <w:color w:val="000000" w:themeColor="text1"/>
          <w:sz w:val="24"/>
          <w14:textFill>
            <w14:solidFill>
              <w14:schemeClr w14:val="tx1"/>
            </w14:solidFill>
          </w14:textFill>
        </w:rPr>
        <w:t>：</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生物化学</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（第三版）</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王镜岩</w:t>
      </w:r>
      <w:r>
        <w:rPr>
          <w:rFonts w:eastAsiaTheme="minorEastAsia"/>
          <w:color w:val="000000" w:themeColor="text1"/>
          <w:sz w:val="24"/>
          <w14:textFill>
            <w14:solidFill>
              <w14:schemeClr w14:val="tx1"/>
            </w14:solidFill>
          </w14:textFill>
        </w:rPr>
        <w:t>主编，</w:t>
      </w:r>
      <w:r>
        <w:rPr>
          <w:rFonts w:hint="eastAsia" w:eastAsiaTheme="minorEastAsia"/>
          <w:color w:val="000000" w:themeColor="text1"/>
          <w:sz w:val="24"/>
          <w14:textFill>
            <w14:solidFill>
              <w14:schemeClr w14:val="tx1"/>
            </w14:solidFill>
          </w14:textFill>
        </w:rPr>
        <w:t>高等教育</w:t>
      </w:r>
      <w:r>
        <w:rPr>
          <w:rFonts w:eastAsiaTheme="minorEastAsia"/>
          <w:color w:val="000000" w:themeColor="text1"/>
          <w:sz w:val="24"/>
          <w14:textFill>
            <w14:solidFill>
              <w14:schemeClr w14:val="tx1"/>
            </w14:solidFill>
          </w14:textFill>
        </w:rPr>
        <w:t>出版社，2005。</w:t>
      </w:r>
    </w:p>
    <w:p>
      <w:pPr>
        <w:spacing w:line="360" w:lineRule="auto"/>
        <w:ind w:firstLine="480" w:firstLineChars="200"/>
        <w:jc w:val="left"/>
        <w:rPr>
          <w:rFonts w:eastAsiaTheme="minorEastAsia"/>
          <w:color w:val="000000" w:themeColor="text1"/>
          <w:sz w:val="24"/>
          <w14:textFill>
            <w14:solidFill>
              <w14:schemeClr w14:val="tx1"/>
            </w14:solidFill>
          </w14:textFill>
        </w:rPr>
      </w:pPr>
    </w:p>
    <w:p>
      <w:pPr>
        <w:spacing w:line="360" w:lineRule="auto"/>
        <w:jc w:val="left"/>
        <w:rPr>
          <w:rFonts w:eastAsiaTheme="minorEastAsia"/>
          <w:b/>
          <w:bCs/>
          <w:color w:val="000000" w:themeColor="text1"/>
          <w:sz w:val="24"/>
          <w14:textFill>
            <w14:solidFill>
              <w14:schemeClr w14:val="tx1"/>
            </w14:solidFill>
          </w14:textFill>
        </w:rPr>
      </w:pPr>
      <w:r>
        <w:rPr>
          <w:rFonts w:hint="eastAsia" w:eastAsiaTheme="minorEastAsia"/>
          <w:b/>
          <w:bCs/>
          <w:color w:val="000000" w:themeColor="text1"/>
          <w:sz w:val="24"/>
          <w14:textFill>
            <w14:solidFill>
              <w14:schemeClr w14:val="tx1"/>
            </w14:solidFill>
          </w14:textFill>
        </w:rPr>
        <w:t>药物化学部分：</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一</w:t>
      </w:r>
      <w:r>
        <w:rPr>
          <w:rFonts w:eastAsiaTheme="minorEastAsia"/>
          <w:b/>
          <w:color w:val="000000" w:themeColor="text1"/>
          <w:sz w:val="24"/>
          <w14:textFill>
            <w14:solidFill>
              <w14:schemeClr w14:val="tx1"/>
            </w14:solidFill>
          </w14:textFill>
        </w:rPr>
        <w:t>、考查目标</w:t>
      </w:r>
    </w:p>
    <w:p>
      <w:pPr>
        <w:spacing w:line="360" w:lineRule="auto"/>
        <w:ind w:firstLine="600" w:firstLineChars="25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课程考试目的在于测试考生</w:t>
      </w:r>
      <w:r>
        <w:rPr>
          <w:rFonts w:hint="eastAsia" w:eastAsiaTheme="minorEastAsia"/>
          <w:color w:val="000000" w:themeColor="text1"/>
          <w:sz w:val="24"/>
          <w14:textFill>
            <w14:solidFill>
              <w14:schemeClr w14:val="tx1"/>
            </w14:solidFill>
          </w14:textFill>
        </w:rPr>
        <w:t>能够综合运用基础理论知识和技术手段，分析在实际或生活中药物化学在医药领域的应用实例</w:t>
      </w:r>
      <w:r>
        <w:rPr>
          <w:rFonts w:eastAsiaTheme="minorEastAsia"/>
          <w:color w:val="000000" w:themeColor="text1"/>
          <w:sz w:val="24"/>
          <w14:textFill>
            <w14:solidFill>
              <w14:schemeClr w14:val="tx1"/>
            </w14:solidFill>
          </w14:textFill>
        </w:rPr>
        <w:t>。</w:t>
      </w:r>
    </w:p>
    <w:p>
      <w:pPr>
        <w:spacing w:line="360" w:lineRule="auto"/>
        <w:jc w:val="left"/>
        <w:rPr>
          <w:rFonts w:eastAsiaTheme="minorEastAsia"/>
          <w:b/>
          <w:color w:val="000000" w:themeColor="text1"/>
          <w:sz w:val="24"/>
          <w14:textFill>
            <w14:solidFill>
              <w14:schemeClr w14:val="tx1"/>
            </w14:solidFill>
          </w14:textFill>
        </w:rPr>
      </w:pPr>
      <w:r>
        <w:rPr>
          <w:rFonts w:hint="eastAsia" w:eastAsiaTheme="minorEastAsia"/>
          <w:b/>
          <w:color w:val="000000" w:themeColor="text1"/>
          <w:sz w:val="24"/>
          <w14:textFill>
            <w14:solidFill>
              <w14:schemeClr w14:val="tx1"/>
            </w14:solidFill>
          </w14:textFill>
        </w:rPr>
        <w:t>二</w:t>
      </w:r>
      <w:r>
        <w:rPr>
          <w:rFonts w:eastAsiaTheme="minorEastAsia"/>
          <w:b/>
          <w:color w:val="000000" w:themeColor="text1"/>
          <w:sz w:val="24"/>
          <w14:textFill>
            <w14:solidFill>
              <w14:schemeClr w14:val="tx1"/>
            </w14:solidFill>
          </w14:textFill>
        </w:rPr>
        <w:t>、考查范围或考试内容概要</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第一章 镇静催眠药</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巴比妥类药物的结构、性质和构效关系，苯二氮卓类药物的结构、性质、作用机理和构效关系</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镇痛药</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吗啡及其类似物的结构，类似物的构效关系，吗啡上瘾机制，盐酸哌替啶</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机构及性质</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拟胆碱药</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乙酰胆碱结构、性质及作用机理，氯贝胆碱结构、性质及构效关系，溴新斯的明结构与性质</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抗胆碱药</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硫酸阿托品结构与性质</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拟肾上腺素药</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肾上腺素的结构、性质、合成和构效关系，盐酸麻黄碱结构、合成和构效关系</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局部麻醉药</w:t>
      </w:r>
    </w:p>
    <w:p>
      <w:pPr>
        <w:numPr>
          <w:ilvl w:val="255"/>
          <w:numId w:val="0"/>
        </w:numPr>
        <w:spacing w:line="360" w:lineRule="auto"/>
        <w:ind w:firstLine="48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局部麻醉药的5种结构类型〔方酸酯类、酰胺类、氨基酮类、氨基醚类和氨基甲酸酯类〕，盐酸普鲁卡因和盐酸氯胺酮的合成方法，局部麻醉药的构效关系</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心血管药物</w:t>
      </w:r>
    </w:p>
    <w:p>
      <w:pPr>
        <w:numPr>
          <w:ilvl w:val="255"/>
          <w:numId w:val="0"/>
        </w:numPr>
        <w:spacing w:line="360" w:lineRule="auto"/>
        <w:ind w:firstLine="48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心血管药物按药理作用的分类，RAS系统升压机理，卡托普利结构、性质与构效关系</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解热镇痛药</w:t>
      </w:r>
    </w:p>
    <w:p>
      <w:pPr>
        <w:numPr>
          <w:ilvl w:val="255"/>
          <w:numId w:val="0"/>
        </w:numPr>
        <w:spacing w:line="360" w:lineRule="auto"/>
        <w:ind w:firstLine="48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花生四烯酸的代谢途径，阿司匹林的结构、性质、合成与构效关系，对乙酰氨基酚结构、性质和合成</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非甾类抗炎药</w:t>
      </w:r>
    </w:p>
    <w:p>
      <w:pPr>
        <w:numPr>
          <w:ilvl w:val="255"/>
          <w:numId w:val="0"/>
        </w:numPr>
        <w:spacing w:line="360" w:lineRule="auto"/>
        <w:ind w:firstLine="48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羟布宗结构、性质和构效关系</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抗肿瘤药</w:t>
      </w:r>
    </w:p>
    <w:p>
      <w:pPr>
        <w:numPr>
          <w:ilvl w:val="255"/>
          <w:numId w:val="0"/>
        </w:numPr>
        <w:spacing w:line="360" w:lineRule="auto"/>
        <w:ind w:firstLine="48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氮芥类抗肿瘤药的结构通式和各结构部分的功能</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内酰胺抗生素</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青霉素类抗生素的结构、性质、作用机理、改造和构效关系，头孢菌素类抗生素的结构、性质与构效关系，四环素类抗生素的作用机理</w:t>
      </w:r>
    </w:p>
    <w:p>
      <w:pPr>
        <w:numPr>
          <w:ilvl w:val="0"/>
          <w:numId w:val="1"/>
        </w:numPr>
        <w:spacing w:line="360" w:lineRule="auto"/>
        <w:ind w:firstLine="480" w:firstLineChars="200"/>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新药设计与开发</w:t>
      </w:r>
    </w:p>
    <w:p>
      <w:pPr>
        <w:numPr>
          <w:ilvl w:val="255"/>
          <w:numId w:val="0"/>
        </w:numPr>
        <w:spacing w:line="360" w:lineRule="auto"/>
        <w:jc w:val="left"/>
        <w:rPr>
          <w:rFonts w:eastAsiaTheme="minorEastAsia"/>
          <w:color w:val="000000" w:themeColor="text1"/>
          <w:sz w:val="24"/>
          <w14:textFill>
            <w14:solidFill>
              <w14:schemeClr w14:val="tx1"/>
            </w14:solidFill>
          </w14:textFill>
        </w:rPr>
      </w:pPr>
      <w:r>
        <w:rPr>
          <w:rFonts w:hint="eastAsia" w:eastAsiaTheme="minorEastAsia"/>
          <w:color w:val="000000" w:themeColor="text1"/>
          <w:sz w:val="24"/>
          <w14:textFill>
            <w14:solidFill>
              <w14:schemeClr w14:val="tx1"/>
            </w14:solidFill>
          </w14:textFill>
        </w:rPr>
        <w:t xml:space="preserve">    先导化合物的发现，先导化合物的优化方法，计算机辅助药物设计。</w:t>
      </w:r>
    </w:p>
    <w:p>
      <w:pPr>
        <w:spacing w:before="31" w:beforeLines="10" w:after="31" w:afterLines="10" w:line="360" w:lineRule="auto"/>
        <w:rPr>
          <w:color w:val="000000" w:themeColor="text1"/>
          <w:sz w:val="24"/>
          <w14:textFill>
            <w14:solidFill>
              <w14:schemeClr w14:val="tx1"/>
            </w14:solidFill>
          </w14:textFill>
        </w:rPr>
      </w:pPr>
      <w:r>
        <w:rPr>
          <w:b/>
          <w:color w:val="000000" w:themeColor="text1"/>
          <w:sz w:val="24"/>
          <w14:textFill>
            <w14:solidFill>
              <w14:schemeClr w14:val="tx1"/>
            </w14:solidFill>
          </w14:textFill>
        </w:rPr>
        <w:t>参考教材或主要参考书</w:t>
      </w:r>
      <w:r>
        <w:rPr>
          <w:color w:val="000000" w:themeColor="text1"/>
          <w:sz w:val="24"/>
          <w14:textFill>
            <w14:solidFill>
              <w14:schemeClr w14:val="tx1"/>
            </w14:solidFill>
          </w14:textFill>
        </w:rPr>
        <w:t>：</w:t>
      </w:r>
    </w:p>
    <w:p>
      <w:pPr>
        <w:spacing w:line="360" w:lineRule="auto"/>
        <w:ind w:firstLine="480" w:firstLineChars="200"/>
        <w:jc w:val="left"/>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药物化学</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（第8版）</w:t>
      </w:r>
      <w:r>
        <w:rPr>
          <w:rFonts w:eastAsiaTheme="minorEastAsia"/>
          <w:color w:val="000000" w:themeColor="text1"/>
          <w:sz w:val="24"/>
          <w14:textFill>
            <w14:solidFill>
              <w14:schemeClr w14:val="tx1"/>
            </w14:solidFill>
          </w14:textFill>
        </w:rPr>
        <w:t>，</w:t>
      </w:r>
      <w:r>
        <w:rPr>
          <w:rFonts w:hint="eastAsia" w:eastAsiaTheme="minorEastAsia"/>
          <w:color w:val="000000" w:themeColor="text1"/>
          <w:sz w:val="24"/>
          <w14:textFill>
            <w14:solidFill>
              <w14:schemeClr w14:val="tx1"/>
            </w14:solidFill>
          </w14:textFill>
        </w:rPr>
        <w:t>尤启冬</w:t>
      </w:r>
      <w:r>
        <w:rPr>
          <w:rFonts w:eastAsiaTheme="minorEastAsia"/>
          <w:color w:val="000000" w:themeColor="text1"/>
          <w:sz w:val="24"/>
          <w14:textFill>
            <w14:solidFill>
              <w14:schemeClr w14:val="tx1"/>
            </w14:solidFill>
          </w14:textFill>
        </w:rPr>
        <w:t>主编，</w:t>
      </w:r>
      <w:r>
        <w:rPr>
          <w:rFonts w:hint="eastAsia" w:eastAsiaTheme="minorEastAsia"/>
          <w:color w:val="000000" w:themeColor="text1"/>
          <w:sz w:val="24"/>
          <w14:textFill>
            <w14:solidFill>
              <w14:schemeClr w14:val="tx1"/>
            </w14:solidFill>
          </w14:textFill>
        </w:rPr>
        <w:t>人民卫生</w:t>
      </w:r>
      <w:r>
        <w:rPr>
          <w:rFonts w:eastAsiaTheme="minorEastAsia"/>
          <w:color w:val="000000" w:themeColor="text1"/>
          <w:sz w:val="24"/>
          <w14:textFill>
            <w14:solidFill>
              <w14:schemeClr w14:val="tx1"/>
            </w14:solidFill>
          </w14:textFill>
        </w:rPr>
        <w:t>出版社，20</w:t>
      </w:r>
      <w:r>
        <w:rPr>
          <w:rFonts w:hint="eastAsia" w:eastAsiaTheme="minorEastAsia"/>
          <w:color w:val="000000" w:themeColor="text1"/>
          <w:sz w:val="24"/>
          <w14:textFill>
            <w14:solidFill>
              <w14:schemeClr w14:val="tx1"/>
            </w14:solidFill>
          </w14:textFill>
        </w:rPr>
        <w:t>20</w:t>
      </w:r>
      <w:r>
        <w:rPr>
          <w:rFonts w:eastAsiaTheme="minorEastAsia"/>
          <w:color w:val="000000" w:themeColor="text1"/>
          <w:sz w:val="24"/>
          <w14:textFill>
            <w14:solidFill>
              <w14:schemeClr w14:val="tx1"/>
            </w14:solidFill>
          </w14:textFill>
        </w:rPr>
        <w:t>。</w:t>
      </w:r>
    </w:p>
    <w:p>
      <w:pPr>
        <w:numPr>
          <w:ilvl w:val="255"/>
          <w:numId w:val="0"/>
        </w:numPr>
        <w:spacing w:line="360" w:lineRule="auto"/>
        <w:jc w:val="left"/>
        <w:rPr>
          <w:rFonts w:eastAsiaTheme="minorEastAsia"/>
          <w:color w:val="000000" w:themeColor="text1"/>
          <w:sz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4A391"/>
    <w:multiLevelType w:val="singleLevel"/>
    <w:tmpl w:val="D174A391"/>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jQxMjO1sDAyMjQwMjJQ0lEKTi0uzszPAykwrAUA7VPSKiwAAAA="/>
    <w:docVar w:name="commondata" w:val="eyJoZGlkIjoiYWYyOTJjNmFkNDg1NjQxZGMxOGRmNDgzMDBkZDk2ZjYifQ=="/>
  </w:docVars>
  <w:rsids>
    <w:rsidRoot w:val="004C64B2"/>
    <w:rsid w:val="00000321"/>
    <w:rsid w:val="00001CBC"/>
    <w:rsid w:val="000023DD"/>
    <w:rsid w:val="000319C0"/>
    <w:rsid w:val="00043B40"/>
    <w:rsid w:val="0005173E"/>
    <w:rsid w:val="00066B59"/>
    <w:rsid w:val="00092EC3"/>
    <w:rsid w:val="00097010"/>
    <w:rsid w:val="000A5A26"/>
    <w:rsid w:val="000D30B5"/>
    <w:rsid w:val="00100E18"/>
    <w:rsid w:val="00134E59"/>
    <w:rsid w:val="00147B0A"/>
    <w:rsid w:val="00152EC0"/>
    <w:rsid w:val="001834F8"/>
    <w:rsid w:val="00184BB0"/>
    <w:rsid w:val="001A046E"/>
    <w:rsid w:val="001F1DC1"/>
    <w:rsid w:val="001F50C0"/>
    <w:rsid w:val="00200818"/>
    <w:rsid w:val="002103D6"/>
    <w:rsid w:val="00273FC6"/>
    <w:rsid w:val="00297A41"/>
    <w:rsid w:val="002A104D"/>
    <w:rsid w:val="002A7803"/>
    <w:rsid w:val="002B03CD"/>
    <w:rsid w:val="002D1A13"/>
    <w:rsid w:val="002E2770"/>
    <w:rsid w:val="002E5122"/>
    <w:rsid w:val="0034014B"/>
    <w:rsid w:val="00372834"/>
    <w:rsid w:val="003A382C"/>
    <w:rsid w:val="003A63F6"/>
    <w:rsid w:val="003B0523"/>
    <w:rsid w:val="00403C01"/>
    <w:rsid w:val="00451AC2"/>
    <w:rsid w:val="0045366B"/>
    <w:rsid w:val="00467B4B"/>
    <w:rsid w:val="00483A58"/>
    <w:rsid w:val="004B6DB3"/>
    <w:rsid w:val="004C64B2"/>
    <w:rsid w:val="004D72D3"/>
    <w:rsid w:val="004F309D"/>
    <w:rsid w:val="005070DF"/>
    <w:rsid w:val="00541945"/>
    <w:rsid w:val="005469C9"/>
    <w:rsid w:val="00594908"/>
    <w:rsid w:val="00613D5A"/>
    <w:rsid w:val="0063157A"/>
    <w:rsid w:val="006751BC"/>
    <w:rsid w:val="006A460F"/>
    <w:rsid w:val="006B0753"/>
    <w:rsid w:val="007337B4"/>
    <w:rsid w:val="00753B39"/>
    <w:rsid w:val="0078496B"/>
    <w:rsid w:val="007A7133"/>
    <w:rsid w:val="007E7CE9"/>
    <w:rsid w:val="00824D88"/>
    <w:rsid w:val="008466B9"/>
    <w:rsid w:val="008725B0"/>
    <w:rsid w:val="00875138"/>
    <w:rsid w:val="008C1BF8"/>
    <w:rsid w:val="009012BE"/>
    <w:rsid w:val="00932122"/>
    <w:rsid w:val="009A251E"/>
    <w:rsid w:val="009B3749"/>
    <w:rsid w:val="009B5B7F"/>
    <w:rsid w:val="009F4EB3"/>
    <w:rsid w:val="00A05B53"/>
    <w:rsid w:val="00A61164"/>
    <w:rsid w:val="00A63B29"/>
    <w:rsid w:val="00A76389"/>
    <w:rsid w:val="00AC32A1"/>
    <w:rsid w:val="00AC4F05"/>
    <w:rsid w:val="00AD43E5"/>
    <w:rsid w:val="00AE09FA"/>
    <w:rsid w:val="00AF5EFE"/>
    <w:rsid w:val="00B22A9E"/>
    <w:rsid w:val="00B2491F"/>
    <w:rsid w:val="00B3567C"/>
    <w:rsid w:val="00B5490D"/>
    <w:rsid w:val="00B91404"/>
    <w:rsid w:val="00BF5C09"/>
    <w:rsid w:val="00BF7EF0"/>
    <w:rsid w:val="00C46AC6"/>
    <w:rsid w:val="00C8112D"/>
    <w:rsid w:val="00CA290A"/>
    <w:rsid w:val="00CC5F75"/>
    <w:rsid w:val="00CD44E9"/>
    <w:rsid w:val="00D20044"/>
    <w:rsid w:val="00DD3FF4"/>
    <w:rsid w:val="00DD4058"/>
    <w:rsid w:val="00DF12D4"/>
    <w:rsid w:val="00E10A06"/>
    <w:rsid w:val="00E46B1F"/>
    <w:rsid w:val="00E7787F"/>
    <w:rsid w:val="00EA13F5"/>
    <w:rsid w:val="00EA6A2A"/>
    <w:rsid w:val="00ED6754"/>
    <w:rsid w:val="00F10ADD"/>
    <w:rsid w:val="00F449E8"/>
    <w:rsid w:val="00F478FC"/>
    <w:rsid w:val="00F51F48"/>
    <w:rsid w:val="00F55C6E"/>
    <w:rsid w:val="00F603F2"/>
    <w:rsid w:val="00FF1F94"/>
    <w:rsid w:val="00FF36F3"/>
    <w:rsid w:val="0BDA74DA"/>
    <w:rsid w:val="16B41F01"/>
    <w:rsid w:val="1D581AF9"/>
    <w:rsid w:val="23AA15D5"/>
    <w:rsid w:val="283D4DC4"/>
    <w:rsid w:val="363977EC"/>
    <w:rsid w:val="3DD86FEB"/>
    <w:rsid w:val="471B736E"/>
    <w:rsid w:val="4D6E7690"/>
    <w:rsid w:val="62DE32A1"/>
    <w:rsid w:val="6BC77484"/>
    <w:rsid w:val="721F0956"/>
    <w:rsid w:val="747D762A"/>
    <w:rsid w:val="7E043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6"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6"/>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标题 1 字符"/>
    <w:basedOn w:val="8"/>
    <w:link w:val="2"/>
    <w:qFormat/>
    <w:uiPriority w:val="0"/>
    <w:rPr>
      <w:rFonts w:ascii="Times New Roman" w:hAnsi="Times New Roman" w:eastAsia="宋体" w:cs="Times New Roman"/>
      <w:b/>
      <w:bCs/>
      <w:kern w:val="44"/>
      <w:sz w:val="44"/>
      <w:szCs w:val="44"/>
    </w:rPr>
  </w:style>
  <w:style w:type="paragraph" w:customStyle="1" w:styleId="12">
    <w:name w:val="列表段落1"/>
    <w:basedOn w:val="1"/>
    <w:qFormat/>
    <w:uiPriority w:val="0"/>
    <w:pPr>
      <w:ind w:firstLine="420" w:firstLineChars="200"/>
    </w:pPr>
  </w:style>
  <w:style w:type="paragraph" w:customStyle="1" w:styleId="13">
    <w:name w:val="_Style 1"/>
    <w:basedOn w:val="1"/>
    <w:qFormat/>
    <w:uiPriority w:val="0"/>
    <w:pPr>
      <w:ind w:firstLine="420" w:firstLineChars="200"/>
    </w:pPr>
  </w:style>
  <w:style w:type="paragraph" w:customStyle="1" w:styleId="14">
    <w:name w:val="正文1"/>
    <w:qFormat/>
    <w:uiPriority w:val="0"/>
    <w:pPr>
      <w:widowControl w:val="0"/>
      <w:adjustRightInd w:val="0"/>
      <w:spacing w:line="360" w:lineRule="atLeast"/>
    </w:pPr>
    <w:rPr>
      <w:rFonts w:ascii="宋体" w:hAnsi="Times New Roman" w:eastAsia="宋体" w:cs="Times New Roman"/>
      <w:sz w:val="24"/>
      <w:lang w:val="en-US" w:eastAsia="zh-CN" w:bidi="ar-SA"/>
    </w:rPr>
  </w:style>
  <w:style w:type="paragraph" w:customStyle="1" w:styleId="15">
    <w:name w:val="Char Char1 Char"/>
    <w:basedOn w:val="1"/>
    <w:semiHidden/>
    <w:qFormat/>
    <w:uiPriority w:val="0"/>
  </w:style>
  <w:style w:type="character" w:customStyle="1" w:styleId="16">
    <w:name w:val="批注框文本 字符"/>
    <w:basedOn w:val="8"/>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8</Pages>
  <Words>4232</Words>
  <Characters>4304</Characters>
  <Lines>32</Lines>
  <Paragraphs>9</Paragraphs>
  <TotalTime>1</TotalTime>
  <ScaleCrop>false</ScaleCrop>
  <LinksUpToDate>false</LinksUpToDate>
  <CharactersWithSpaces>4425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2020-07-16T09:04:00Z</dcterms:created>
  <dc:creator>Windows 用户</dc:creator>
  <cp:lastModifiedBy>阳阳</cp:lastModifiedBy>
  <dcterms:modified xsi:type="dcterms:W3CDTF">2022-07-20T05:12:32Z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9657F9EF41364031AF5D46ECF71CB7E9</vt:lpwstr>
  </property>
</Properties>
</file>