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lang w:val="en-US" w:eastAsia="zh-CN"/>
        </w:rPr>
        <w:t>杭州电子科技大学</w:t>
      </w:r>
      <w:r>
        <w:rPr>
          <w:rFonts w:hint="eastAsia"/>
        </w:rPr>
        <w:t>材料与环境工程学院2024年硕士研究生招生复试录取实施细则</w:t>
      </w:r>
    </w:p>
    <w:p>
      <w:pPr>
        <w:rPr>
          <w:rFonts w:hint="eastAsia"/>
        </w:rPr>
      </w:pPr>
      <w:r>
        <w:rPr>
          <w:rFonts w:hint="eastAsia"/>
          <w:lang w:val="en-US" w:eastAsia="zh-CN"/>
        </w:rPr>
        <w:t>为做好我院2024年硕士研究生复试录取工作，根据《杭州电子科技大学2024年硕士研究生招生复</w:t>
      </w:r>
      <w:bookmarkStart w:id="0" w:name="_GoBack"/>
      <w:bookmarkEnd w:id="0"/>
      <w:r>
        <w:rPr>
          <w:rFonts w:hint="eastAsia"/>
          <w:lang w:val="en-US" w:eastAsia="zh-CN"/>
        </w:rPr>
        <w:t>试工作办法》，结合我院实际情况，特制订2024年硕士研究生招生复试录取实施细则，现将有关事项安排如下：</w:t>
      </w:r>
    </w:p>
    <w:p>
      <w:pPr>
        <w:rPr>
          <w:rFonts w:hint="eastAsia"/>
        </w:rPr>
      </w:pPr>
      <w:r>
        <w:rPr>
          <w:rFonts w:hint="eastAsia"/>
          <w:lang w:val="en-US" w:eastAsia="zh-CN"/>
        </w:rPr>
        <w:t>一、总体要求</w:t>
      </w:r>
    </w:p>
    <w:p>
      <w:pPr>
        <w:rPr>
          <w:rFonts w:hint="eastAsia"/>
        </w:rPr>
      </w:pPr>
      <w:r>
        <w:rPr>
          <w:rFonts w:hint="eastAsia"/>
          <w:lang w:val="en-US" w:eastAsia="zh-CN"/>
        </w:rPr>
        <w:t>根据教育部和浙江省教育考试院安排以及学校招生复试工作要求，坚持“安全第一、公平至上、质量为先”的总体原则，确保安全性、公平性和科学性，稳妥做好我院2024年硕士研究生招生复试工作。</w:t>
      </w:r>
    </w:p>
    <w:p>
      <w:pPr>
        <w:rPr>
          <w:rFonts w:hint="eastAsia"/>
        </w:rPr>
      </w:pPr>
      <w:r>
        <w:rPr>
          <w:rFonts w:hint="eastAsia"/>
          <w:lang w:val="en-US" w:eastAsia="zh-CN"/>
        </w:rPr>
        <w:t>二、复试工作</w:t>
      </w:r>
    </w:p>
    <w:p>
      <w:pPr>
        <w:rPr>
          <w:rFonts w:hint="eastAsia"/>
        </w:rPr>
      </w:pPr>
      <w:r>
        <w:rPr>
          <w:rFonts w:hint="eastAsia"/>
        </w:rPr>
        <w:t>（一） 复试方式</w:t>
      </w:r>
    </w:p>
    <w:p>
      <w:pPr>
        <w:rPr>
          <w:rFonts w:hint="eastAsia"/>
        </w:rPr>
      </w:pPr>
      <w:r>
        <w:rPr>
          <w:rFonts w:hint="eastAsia"/>
          <w:lang w:val="en-US" w:eastAsia="zh-CN"/>
        </w:rPr>
        <w:t>根据学校要求，采用线下面试复试方式，以综合面试形式进行。</w:t>
      </w:r>
    </w:p>
    <w:p>
      <w:pPr>
        <w:rPr>
          <w:rFonts w:hint="eastAsia"/>
        </w:rPr>
      </w:pPr>
      <w:r>
        <w:rPr>
          <w:rFonts w:hint="eastAsia"/>
        </w:rPr>
        <w:t>（二） 复试日程安排（复试钉钉群号：73610003767，入群）</w:t>
      </w:r>
    </w:p>
    <w:tbl>
      <w:tblPr>
        <w:tblW w:w="9195"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45"/>
        <w:gridCol w:w="1200"/>
        <w:gridCol w:w="1440"/>
        <w:gridCol w:w="2355"/>
        <w:gridCol w:w="1095"/>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14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rPr>
                <w:rFonts w:hint="eastAsia"/>
              </w:rPr>
            </w:pPr>
            <w:r>
              <w:rPr>
                <w:rFonts w:hint="eastAsia"/>
                <w:lang w:val="en-US" w:eastAsia="zh-CN"/>
              </w:rPr>
              <w:t>时间</w:t>
            </w:r>
          </w:p>
        </w:tc>
        <w:tc>
          <w:tcPr>
            <w:tcW w:w="1200"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rPr>
            </w:pPr>
            <w:r>
              <w:rPr>
                <w:rFonts w:hint="eastAsia"/>
                <w:lang w:val="en-US" w:eastAsia="zh-CN"/>
              </w:rPr>
              <w:t>安排</w:t>
            </w:r>
          </w:p>
        </w:tc>
        <w:tc>
          <w:tcPr>
            <w:tcW w:w="1440"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rPr>
            </w:pPr>
            <w:r>
              <w:rPr>
                <w:rFonts w:hint="eastAsia"/>
                <w:lang w:val="en-US" w:eastAsia="zh-CN"/>
              </w:rPr>
              <w:t>说明</w:t>
            </w:r>
          </w:p>
        </w:tc>
        <w:tc>
          <w:tcPr>
            <w:tcW w:w="2355"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rPr>
            </w:pPr>
            <w:r>
              <w:rPr>
                <w:rFonts w:hint="eastAsia"/>
                <w:lang w:val="en-US" w:eastAsia="zh-CN"/>
              </w:rPr>
              <w:t>地点</w:t>
            </w:r>
          </w:p>
        </w:tc>
        <w:tc>
          <w:tcPr>
            <w:tcW w:w="1095"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rPr>
            </w:pPr>
            <w:r>
              <w:rPr>
                <w:rFonts w:hint="eastAsia"/>
                <w:lang w:val="en-US" w:eastAsia="zh-CN"/>
              </w:rPr>
              <w:t>工作人员姓名</w:t>
            </w:r>
          </w:p>
        </w:tc>
        <w:tc>
          <w:tcPr>
            <w:tcW w:w="960"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rPr>
            </w:pPr>
            <w:r>
              <w:rPr>
                <w:rFonts w:hint="eastAsia"/>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15" w:hRule="atLeast"/>
        </w:trPr>
        <w:tc>
          <w:tcPr>
            <w:tcW w:w="214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rPr>
                <w:rFonts w:hint="eastAsia"/>
              </w:rPr>
            </w:pPr>
            <w:r>
              <w:rPr>
                <w:rFonts w:hint="eastAsia"/>
                <w:lang w:val="en-US" w:eastAsia="zh-CN"/>
              </w:rPr>
              <w:t>3月28日（9:30-16:30）</w:t>
            </w:r>
          </w:p>
        </w:tc>
        <w:tc>
          <w:tcPr>
            <w:tcW w:w="120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rPr>
            </w:pPr>
            <w:r>
              <w:rPr>
                <w:rFonts w:hint="eastAsia"/>
                <w:lang w:val="en-US" w:eastAsia="zh-CN"/>
              </w:rPr>
              <w:t>报到、资格审查、政审</w:t>
            </w:r>
          </w:p>
        </w:tc>
        <w:tc>
          <w:tcPr>
            <w:tcW w:w="144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rPr>
            </w:pPr>
            <w:r>
              <w:rPr>
                <w:rFonts w:hint="eastAsia"/>
                <w:lang w:val="en-US" w:eastAsia="zh-CN"/>
              </w:rPr>
              <w:t>提交相关资料：详见本细则第五条</w:t>
            </w:r>
          </w:p>
        </w:tc>
        <w:tc>
          <w:tcPr>
            <w:tcW w:w="235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rPr>
            </w:pPr>
            <w:r>
              <w:rPr>
                <w:rFonts w:hint="eastAsia"/>
                <w:lang w:val="en-US" w:eastAsia="zh-CN"/>
              </w:rPr>
              <w:t>6教中521室</w:t>
            </w:r>
          </w:p>
        </w:tc>
        <w:tc>
          <w:tcPr>
            <w:tcW w:w="109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rPr>
            </w:pPr>
            <w:r>
              <w:rPr>
                <w:rFonts w:hint="eastAsia"/>
                <w:lang w:val="en-US" w:eastAsia="zh-CN"/>
              </w:rPr>
              <w:t>郑老师</w:t>
            </w:r>
          </w:p>
        </w:tc>
        <w:tc>
          <w:tcPr>
            <w:tcW w:w="96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rPr>
            </w:pPr>
            <w:r>
              <w:rPr>
                <w:rFonts w:hint="eastAsia"/>
                <w:lang w:val="en-US" w:eastAsia="zh-CN"/>
              </w:rPr>
              <w:t>86878539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00" w:hRule="atLeast"/>
        </w:trPr>
        <w:tc>
          <w:tcPr>
            <w:tcW w:w="2145" w:type="dxa"/>
            <w:vMerge w:val="restart"/>
            <w:tcBorders>
              <w:top w:val="nil"/>
              <w:left w:val="single" w:color="000000" w:sz="6" w:space="0"/>
              <w:bottom w:val="nil"/>
              <w:right w:val="single" w:color="000000" w:sz="6" w:space="0"/>
            </w:tcBorders>
            <w:shd w:val="clear" w:color="auto" w:fill="FFFFFF"/>
            <w:tcMar>
              <w:top w:w="15" w:type="dxa"/>
              <w:left w:w="15" w:type="dxa"/>
              <w:right w:w="15" w:type="dxa"/>
            </w:tcMar>
            <w:vAlign w:val="center"/>
          </w:tcPr>
          <w:p>
            <w:pPr>
              <w:rPr>
                <w:rFonts w:hint="eastAsia"/>
              </w:rPr>
            </w:pPr>
            <w:r>
              <w:rPr>
                <w:rFonts w:hint="eastAsia"/>
                <w:lang w:val="en-US" w:eastAsia="zh-CN"/>
              </w:rPr>
              <w:t>3月29日（9:00开始）</w:t>
            </w:r>
          </w:p>
        </w:tc>
        <w:tc>
          <w:tcPr>
            <w:tcW w:w="1200" w:type="dxa"/>
            <w:vMerge w:val="restart"/>
            <w:tcBorders>
              <w:top w:val="nil"/>
              <w:left w:val="nil"/>
              <w:bottom w:val="nil"/>
              <w:right w:val="single" w:color="000000" w:sz="6" w:space="0"/>
            </w:tcBorders>
            <w:shd w:val="clear" w:color="auto" w:fill="FFFFFF"/>
            <w:tcMar>
              <w:top w:w="15" w:type="dxa"/>
              <w:left w:w="15" w:type="dxa"/>
              <w:right w:w="15" w:type="dxa"/>
            </w:tcMar>
            <w:vAlign w:val="center"/>
          </w:tcPr>
          <w:p>
            <w:pPr>
              <w:rPr>
                <w:rFonts w:hint="eastAsia"/>
              </w:rPr>
            </w:pPr>
            <w:r>
              <w:rPr>
                <w:rFonts w:hint="eastAsia"/>
                <w:lang w:val="en-US" w:eastAsia="zh-CN"/>
              </w:rPr>
              <w:t>面试、外语能力测试等复试工作</w:t>
            </w:r>
          </w:p>
        </w:tc>
        <w:tc>
          <w:tcPr>
            <w:tcW w:w="1440" w:type="dxa"/>
            <w:vMerge w:val="restart"/>
            <w:tcBorders>
              <w:top w:val="nil"/>
              <w:left w:val="nil"/>
              <w:bottom w:val="nil"/>
              <w:right w:val="single" w:color="000000" w:sz="6" w:space="0"/>
            </w:tcBorders>
            <w:shd w:val="clear" w:color="auto" w:fill="FFFFFF"/>
            <w:tcMar>
              <w:top w:w="15" w:type="dxa"/>
              <w:left w:w="15" w:type="dxa"/>
              <w:right w:w="15" w:type="dxa"/>
            </w:tcMar>
            <w:vAlign w:val="center"/>
          </w:tcPr>
          <w:p>
            <w:pPr>
              <w:rPr>
                <w:rFonts w:hint="eastAsia"/>
              </w:rPr>
            </w:pPr>
            <w:r>
              <w:rPr>
                <w:rFonts w:hint="eastAsia"/>
                <w:lang w:val="en-US" w:eastAsia="zh-CN"/>
              </w:rPr>
              <w:t>面试里包含外语能力测试和笔试，面试名单请关注复试钉钉群：73610003767</w:t>
            </w:r>
          </w:p>
        </w:tc>
        <w:tc>
          <w:tcPr>
            <w:tcW w:w="235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rPr>
            </w:pPr>
            <w:r>
              <w:rPr>
                <w:rFonts w:hint="eastAsia"/>
                <w:lang w:val="en-US" w:eastAsia="zh-CN"/>
              </w:rPr>
              <w:t>复试：材料科学与工程-7教研楼南503、515</w:t>
            </w:r>
          </w:p>
          <w:p>
            <w:pPr>
              <w:rPr>
                <w:rFonts w:hint="eastAsia"/>
              </w:rPr>
            </w:pPr>
            <w:r>
              <w:rPr>
                <w:rFonts w:hint="eastAsia"/>
                <w:lang w:val="en-US" w:eastAsia="zh-CN"/>
              </w:rPr>
              <w:t>材料工程-7教研楼北220B，320B，418B,420B</w:t>
            </w:r>
          </w:p>
          <w:p>
            <w:pPr>
              <w:rPr>
                <w:rFonts w:hint="eastAsia"/>
              </w:rPr>
            </w:pPr>
            <w:r>
              <w:rPr>
                <w:rFonts w:hint="eastAsia"/>
                <w:lang w:val="en-US" w:eastAsia="zh-CN"/>
              </w:rPr>
              <w:t>资源与环境-第7教研楼北416B</w:t>
            </w:r>
          </w:p>
        </w:tc>
        <w:tc>
          <w:tcPr>
            <w:tcW w:w="1095" w:type="dxa"/>
            <w:vMerge w:val="restart"/>
            <w:tcBorders>
              <w:top w:val="nil"/>
              <w:left w:val="nil"/>
              <w:bottom w:val="nil"/>
              <w:right w:val="single" w:color="000000" w:sz="6" w:space="0"/>
            </w:tcBorders>
            <w:shd w:val="clear" w:color="auto" w:fill="FFFFFF"/>
            <w:tcMar>
              <w:top w:w="15" w:type="dxa"/>
              <w:left w:w="15" w:type="dxa"/>
              <w:right w:w="15" w:type="dxa"/>
            </w:tcMar>
            <w:vAlign w:val="center"/>
          </w:tcPr>
          <w:p>
            <w:pPr>
              <w:rPr>
                <w:rFonts w:hint="eastAsia"/>
              </w:rPr>
            </w:pPr>
            <w:r>
              <w:rPr>
                <w:rFonts w:hint="eastAsia"/>
                <w:lang w:val="en-US" w:eastAsia="zh-CN"/>
              </w:rPr>
              <w:t>李老师</w:t>
            </w:r>
          </w:p>
        </w:tc>
        <w:tc>
          <w:tcPr>
            <w:tcW w:w="960" w:type="dxa"/>
            <w:vMerge w:val="restart"/>
            <w:tcBorders>
              <w:top w:val="nil"/>
              <w:left w:val="nil"/>
              <w:bottom w:val="nil"/>
              <w:right w:val="single" w:color="000000" w:sz="6" w:space="0"/>
            </w:tcBorders>
            <w:shd w:val="clear" w:color="auto" w:fill="FFFFFF"/>
            <w:tcMar>
              <w:top w:w="15" w:type="dxa"/>
              <w:left w:w="15" w:type="dxa"/>
              <w:right w:w="15" w:type="dxa"/>
            </w:tcMar>
            <w:vAlign w:val="center"/>
          </w:tcPr>
          <w:p>
            <w:pPr>
              <w:rPr>
                <w:rFonts w:hint="eastAsia"/>
              </w:rPr>
            </w:pPr>
            <w:r>
              <w:rPr>
                <w:rFonts w:hint="eastAsia"/>
                <w:lang w:val="en-US" w:eastAsia="zh-CN"/>
              </w:rPr>
              <w:t>86878539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2145" w:type="dxa"/>
            <w:vMerge w:val="continue"/>
            <w:tcBorders>
              <w:top w:val="nil"/>
              <w:left w:val="single" w:color="000000" w:sz="6" w:space="0"/>
              <w:bottom w:val="nil"/>
              <w:right w:val="single" w:color="000000" w:sz="6" w:space="0"/>
            </w:tcBorders>
            <w:shd w:val="clear" w:color="auto" w:fill="FFFFFF"/>
            <w:tcMar>
              <w:top w:w="15" w:type="dxa"/>
              <w:left w:w="15" w:type="dxa"/>
              <w:right w:w="15" w:type="dxa"/>
            </w:tcMar>
            <w:vAlign w:val="center"/>
          </w:tcPr>
          <w:p>
            <w:pPr>
              <w:rPr>
                <w:rFonts w:hint="eastAsia"/>
              </w:rPr>
            </w:pPr>
          </w:p>
        </w:tc>
        <w:tc>
          <w:tcPr>
            <w:tcW w:w="1200" w:type="dxa"/>
            <w:vMerge w:val="continue"/>
            <w:tcBorders>
              <w:top w:val="nil"/>
              <w:left w:val="nil"/>
              <w:bottom w:val="nil"/>
              <w:right w:val="single" w:color="000000" w:sz="6" w:space="0"/>
            </w:tcBorders>
            <w:shd w:val="clear" w:color="auto" w:fill="FFFFFF"/>
            <w:tcMar>
              <w:top w:w="15" w:type="dxa"/>
              <w:left w:w="15" w:type="dxa"/>
              <w:right w:w="15" w:type="dxa"/>
            </w:tcMar>
            <w:vAlign w:val="center"/>
          </w:tcPr>
          <w:p>
            <w:pPr>
              <w:rPr>
                <w:rFonts w:hint="eastAsia"/>
              </w:rPr>
            </w:pPr>
          </w:p>
        </w:tc>
        <w:tc>
          <w:tcPr>
            <w:tcW w:w="1440" w:type="dxa"/>
            <w:vMerge w:val="continue"/>
            <w:tcBorders>
              <w:top w:val="nil"/>
              <w:left w:val="nil"/>
              <w:bottom w:val="nil"/>
              <w:right w:val="single" w:color="000000" w:sz="6" w:space="0"/>
            </w:tcBorders>
            <w:shd w:val="clear" w:color="auto" w:fill="FFFFFF"/>
            <w:tcMar>
              <w:top w:w="15" w:type="dxa"/>
              <w:left w:w="15" w:type="dxa"/>
              <w:right w:w="15" w:type="dxa"/>
            </w:tcMar>
            <w:vAlign w:val="center"/>
          </w:tcPr>
          <w:p>
            <w:pPr>
              <w:rPr>
                <w:rFonts w:hint="eastAsia"/>
              </w:rPr>
            </w:pPr>
          </w:p>
        </w:tc>
        <w:tc>
          <w:tcPr>
            <w:tcW w:w="235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rPr>
            </w:pPr>
            <w:r>
              <w:rPr>
                <w:rFonts w:hint="eastAsia"/>
                <w:lang w:val="en-US" w:eastAsia="zh-CN"/>
              </w:rPr>
              <w:t>候场：7教研楼南221</w:t>
            </w:r>
          </w:p>
        </w:tc>
        <w:tc>
          <w:tcPr>
            <w:tcW w:w="1095" w:type="dxa"/>
            <w:vMerge w:val="continue"/>
            <w:tcBorders>
              <w:top w:val="nil"/>
              <w:left w:val="nil"/>
              <w:bottom w:val="nil"/>
              <w:right w:val="single" w:color="000000" w:sz="6" w:space="0"/>
            </w:tcBorders>
            <w:shd w:val="clear" w:color="auto" w:fill="FFFFFF"/>
            <w:tcMar>
              <w:top w:w="15" w:type="dxa"/>
              <w:left w:w="15" w:type="dxa"/>
              <w:right w:w="15" w:type="dxa"/>
            </w:tcMar>
            <w:vAlign w:val="center"/>
          </w:tcPr>
          <w:p>
            <w:pPr>
              <w:rPr>
                <w:rFonts w:hint="eastAsia"/>
              </w:rPr>
            </w:pPr>
          </w:p>
        </w:tc>
        <w:tc>
          <w:tcPr>
            <w:tcW w:w="960" w:type="dxa"/>
            <w:vMerge w:val="continue"/>
            <w:tcBorders>
              <w:top w:val="nil"/>
              <w:left w:val="nil"/>
              <w:bottom w:val="nil"/>
              <w:right w:val="single" w:color="000000" w:sz="6" w:space="0"/>
            </w:tcBorders>
            <w:shd w:val="clear" w:color="auto" w:fill="FFFFFF"/>
            <w:tcMar>
              <w:top w:w="15" w:type="dxa"/>
              <w:left w:w="15" w:type="dxa"/>
              <w:right w:w="15"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0" w:hRule="atLeast"/>
        </w:trPr>
        <w:tc>
          <w:tcPr>
            <w:tcW w:w="214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rPr>
                <w:rFonts w:hint="eastAsia"/>
              </w:rPr>
            </w:pPr>
            <w:r>
              <w:rPr>
                <w:rFonts w:hint="eastAsia"/>
                <w:lang w:val="en-US" w:eastAsia="zh-CN"/>
              </w:rPr>
              <w:t>3月29日（8:30-11:30，13:30-16:30）</w:t>
            </w:r>
          </w:p>
        </w:tc>
        <w:tc>
          <w:tcPr>
            <w:tcW w:w="120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rPr>
            </w:pPr>
            <w:r>
              <w:rPr>
                <w:rFonts w:hint="eastAsia"/>
                <w:lang w:val="en-US" w:eastAsia="zh-CN"/>
              </w:rPr>
              <w:t>在校医院完成体检</w:t>
            </w:r>
          </w:p>
        </w:tc>
        <w:tc>
          <w:tcPr>
            <w:tcW w:w="5850" w:type="dxa"/>
            <w:gridSpan w:val="4"/>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rPr>
            </w:pPr>
            <w:r>
              <w:rPr>
                <w:rFonts w:hint="eastAsia"/>
                <w:lang w:val="en-US" w:eastAsia="zh-CN"/>
              </w:rPr>
              <w:t>建议考生29日完成体检，如有特殊情况可以3月30日校医院完成体检</w:t>
            </w:r>
          </w:p>
        </w:tc>
      </w:tr>
    </w:tbl>
    <w:p>
      <w:pPr>
        <w:rPr>
          <w:rFonts w:hint="eastAsia"/>
        </w:rPr>
      </w:pPr>
      <w:r>
        <w:rPr>
          <w:rFonts w:hint="eastAsia"/>
        </w:rPr>
        <w:t>备注：拟录取结果提交学校审核后统一公示；调剂考生复试时间待定。</w:t>
      </w:r>
    </w:p>
    <w:p>
      <w:pPr>
        <w:rPr>
          <w:rFonts w:hint="eastAsia"/>
        </w:rPr>
      </w:pPr>
      <w:r>
        <w:rPr>
          <w:rFonts w:hint="eastAsia"/>
          <w:lang w:val="en-US" w:eastAsia="zh-CN"/>
        </w:rPr>
        <w:t>三、复试内容</w:t>
      </w:r>
    </w:p>
    <w:p>
      <w:pPr>
        <w:rPr>
          <w:rFonts w:hint="eastAsia"/>
        </w:rPr>
      </w:pPr>
      <w:r>
        <w:rPr>
          <w:rFonts w:hint="eastAsia"/>
        </w:rPr>
        <w:t>1、复试以科研能力和专业知识考核为主，重点考察学生的阅读理解与综合分析能力、逻辑思维能力、实验操作能力和外语交流能力等；</w:t>
      </w:r>
    </w:p>
    <w:p>
      <w:pPr>
        <w:rPr>
          <w:rFonts w:hint="eastAsia"/>
        </w:rPr>
      </w:pPr>
      <w:r>
        <w:rPr>
          <w:rFonts w:hint="eastAsia"/>
        </w:rPr>
        <w:t>2、复试题目是难度适中的客观题或综合性、开放性的主观题。</w:t>
      </w:r>
    </w:p>
    <w:p>
      <w:pPr>
        <w:rPr>
          <w:rFonts w:hint="eastAsia"/>
        </w:rPr>
      </w:pPr>
      <w:r>
        <w:rPr>
          <w:rFonts w:hint="eastAsia"/>
        </w:rPr>
        <w:t>3、材料科学与工程的面试主要内容有：材料类专业相关基础知识，侧重考察考生对材料专业课程的基本概念、基本知识的掌握以及实际应用的能力，同时考察考生对相关学科动态、实验操作和常识的了解和掌握。</w:t>
      </w:r>
    </w:p>
    <w:p>
      <w:pPr>
        <w:rPr>
          <w:rFonts w:hint="eastAsia"/>
        </w:rPr>
      </w:pPr>
      <w:r>
        <w:rPr>
          <w:rFonts w:hint="eastAsia"/>
        </w:rPr>
        <w:t>4、材料工程专业面试的主要内容包括：侧重考察考生对材料专业课程的基本概念、基本知识的掌握以及实际应用的能力，同时考察考生对相关学科动态、实验操作和常识的了解和掌握。</w:t>
      </w:r>
    </w:p>
    <w:p>
      <w:pPr>
        <w:rPr>
          <w:rFonts w:hint="eastAsia"/>
        </w:rPr>
      </w:pPr>
      <w:r>
        <w:rPr>
          <w:rFonts w:hint="eastAsia"/>
        </w:rPr>
        <w:t>5、资源与环境专业面试的主要内容包括：环境科学与环境工程等专业相关基础知识，侧重考察考生对上述专业课程（环境化学、环境工程、环境地学、污染控制工程、环境材料等）的基本概念、基本知识的掌握、理解和实际应用的能力，同时考察考生对相关学科动态和常识的了解和掌握。</w:t>
      </w:r>
    </w:p>
    <w:p>
      <w:pPr>
        <w:rPr>
          <w:rFonts w:hint="eastAsia"/>
        </w:rPr>
      </w:pPr>
      <w:r>
        <w:rPr>
          <w:rFonts w:hint="eastAsia"/>
          <w:lang w:val="en-US" w:eastAsia="zh-CN"/>
        </w:rPr>
        <w:t>四、复试前准备</w:t>
      </w:r>
    </w:p>
    <w:p>
      <w:pPr>
        <w:rPr>
          <w:rFonts w:hint="eastAsia"/>
        </w:rPr>
      </w:pPr>
      <w:r>
        <w:rPr>
          <w:rFonts w:hint="eastAsia"/>
          <w:lang w:val="en-US" w:eastAsia="zh-CN"/>
        </w:rPr>
        <w:t>1、资格审核材料</w:t>
      </w:r>
    </w:p>
    <w:p>
      <w:pPr>
        <w:rPr>
          <w:rFonts w:hint="eastAsia"/>
        </w:rPr>
      </w:pPr>
      <w:r>
        <w:rPr>
          <w:rFonts w:hint="eastAsia"/>
          <w:lang w:val="en-US" w:eastAsia="zh-CN"/>
        </w:rPr>
        <w:t>（1）有效居民身份证及复印件（正反两面）</w:t>
      </w:r>
    </w:p>
    <w:p>
      <w:pPr>
        <w:rPr>
          <w:rFonts w:hint="eastAsia"/>
        </w:rPr>
      </w:pPr>
      <w:r>
        <w:rPr>
          <w:rFonts w:hint="eastAsia"/>
          <w:lang w:val="en-US" w:eastAsia="zh-CN"/>
        </w:rPr>
        <w:t>（2）准考证</w:t>
      </w:r>
    </w:p>
    <w:p>
      <w:pPr>
        <w:rPr>
          <w:rFonts w:hint="eastAsia"/>
        </w:rPr>
      </w:pPr>
      <w:r>
        <w:rPr>
          <w:rFonts w:hint="eastAsia"/>
          <w:lang w:val="en-US" w:eastAsia="zh-CN"/>
        </w:rPr>
        <w:t>（3）学历学籍证明</w:t>
      </w:r>
    </w:p>
    <w:p>
      <w:pPr>
        <w:rPr>
          <w:rFonts w:hint="eastAsia"/>
        </w:rPr>
      </w:pPr>
      <w:r>
        <w:rPr>
          <w:rFonts w:hint="eastAsia"/>
          <w:lang w:val="en-US" w:eastAsia="zh-CN"/>
        </w:rPr>
        <w:t>①应届生提供学生证以及《教育部学籍在线验证报告》；</w:t>
      </w:r>
    </w:p>
    <w:p>
      <w:pPr>
        <w:rPr>
          <w:rFonts w:hint="eastAsia"/>
        </w:rPr>
      </w:pPr>
      <w:r>
        <w:rPr>
          <w:rFonts w:hint="eastAsia"/>
          <w:lang w:val="en-US" w:eastAsia="zh-CN"/>
        </w:rPr>
        <w:t>②往届生提供毕业证、学位证以及《教育部学历证书电子注册备案表》或教育部出具的《中国高等教育学历认证报告》，国（境）外获得学历学位的须提供教育部留学服务中心出具的《国（境）外学历学位认证书》</w:t>
      </w:r>
    </w:p>
    <w:p>
      <w:pPr>
        <w:rPr>
          <w:rFonts w:hint="eastAsia"/>
        </w:rPr>
      </w:pPr>
      <w:r>
        <w:rPr>
          <w:rFonts w:hint="eastAsia"/>
          <w:lang w:val="en-US" w:eastAsia="zh-CN"/>
        </w:rPr>
        <w:t>（4）资格审查表（请点击文末附件下载后填好相关信息、贴好照片）</w:t>
      </w:r>
    </w:p>
    <w:p>
      <w:pPr>
        <w:rPr>
          <w:rFonts w:hint="eastAsia"/>
        </w:rPr>
      </w:pPr>
      <w:r>
        <w:rPr>
          <w:rFonts w:hint="eastAsia"/>
          <w:lang w:val="en-US" w:eastAsia="zh-CN"/>
        </w:rPr>
        <w:t>2、复试材料</w:t>
      </w:r>
    </w:p>
    <w:p>
      <w:pPr>
        <w:rPr>
          <w:rFonts w:hint="eastAsia"/>
        </w:rPr>
      </w:pPr>
      <w:r>
        <w:rPr>
          <w:rFonts w:hint="eastAsia"/>
          <w:lang w:val="en-US" w:eastAsia="zh-CN"/>
        </w:rPr>
        <w:t>（1）大学成绩单（盖公章）</w:t>
      </w:r>
    </w:p>
    <w:p>
      <w:pPr>
        <w:rPr>
          <w:rFonts w:hint="eastAsia"/>
        </w:rPr>
      </w:pPr>
      <w:r>
        <w:rPr>
          <w:rFonts w:hint="eastAsia"/>
          <w:lang w:val="en-US" w:eastAsia="zh-CN"/>
        </w:rPr>
        <w:t>（2）科研成果佐证材料以及学科竞赛获奖证书</w:t>
      </w:r>
    </w:p>
    <w:p>
      <w:pPr>
        <w:rPr>
          <w:rFonts w:hint="eastAsia"/>
        </w:rPr>
      </w:pPr>
      <w:r>
        <w:rPr>
          <w:rFonts w:hint="eastAsia"/>
          <w:lang w:val="en-US" w:eastAsia="zh-CN"/>
        </w:rPr>
        <w:t>（3）英语四、六级成绩单或其他证明英语水平证书</w:t>
      </w:r>
    </w:p>
    <w:p>
      <w:pPr>
        <w:rPr>
          <w:rFonts w:hint="eastAsia"/>
        </w:rPr>
      </w:pPr>
      <w:r>
        <w:rPr>
          <w:rFonts w:hint="eastAsia"/>
          <w:lang w:val="en-US" w:eastAsia="zh-CN"/>
        </w:rPr>
        <w:t>（4）个人陈述表(5份)</w:t>
      </w:r>
    </w:p>
    <w:p>
      <w:pPr>
        <w:rPr>
          <w:rFonts w:hint="eastAsia"/>
        </w:rPr>
      </w:pPr>
      <w:r>
        <w:rPr>
          <w:rFonts w:hint="eastAsia"/>
          <w:lang w:val="en-US" w:eastAsia="zh-CN"/>
        </w:rPr>
        <w:t>（5）复试登记表</w:t>
      </w:r>
    </w:p>
    <w:p>
      <w:pPr>
        <w:rPr>
          <w:rFonts w:hint="eastAsia"/>
        </w:rPr>
      </w:pPr>
      <w:r>
        <w:rPr>
          <w:rFonts w:hint="eastAsia"/>
          <w:lang w:val="en-US" w:eastAsia="zh-CN"/>
        </w:rPr>
        <w:t>（6）学院要求的其他材料</w:t>
      </w:r>
    </w:p>
    <w:p>
      <w:pPr>
        <w:rPr>
          <w:rFonts w:hint="eastAsia"/>
        </w:rPr>
      </w:pPr>
      <w:r>
        <w:rPr>
          <w:rFonts w:hint="eastAsia"/>
          <w:lang w:val="en-US" w:eastAsia="zh-CN"/>
        </w:rPr>
        <w:t>（第（4）、（5）条材料，现场交给复试秘书）</w:t>
      </w:r>
    </w:p>
    <w:p>
      <w:pPr>
        <w:rPr>
          <w:rFonts w:hint="eastAsia"/>
        </w:rPr>
      </w:pPr>
      <w:r>
        <w:rPr>
          <w:rFonts w:hint="eastAsia"/>
          <w:lang w:val="en-US" w:eastAsia="zh-CN"/>
        </w:rPr>
        <w:t>3、报考“退役大学生士兵”专项硕士研究生招生计划的考生还应提交本人《入伍批准书》和《退出现役证》。</w:t>
      </w:r>
    </w:p>
    <w:p>
      <w:pPr>
        <w:rPr>
          <w:rFonts w:hint="eastAsia"/>
        </w:rPr>
      </w:pPr>
      <w:r>
        <w:rPr>
          <w:rFonts w:hint="eastAsia"/>
          <w:lang w:val="en-US" w:eastAsia="zh-CN"/>
        </w:rPr>
        <w:t>4、政审表</w:t>
      </w:r>
    </w:p>
    <w:p>
      <w:pPr>
        <w:rPr>
          <w:rFonts w:hint="eastAsia"/>
        </w:rPr>
      </w:pPr>
      <w:r>
        <w:rPr>
          <w:rFonts w:hint="eastAsia"/>
          <w:lang w:val="en-US" w:eastAsia="zh-CN"/>
        </w:rPr>
        <w:t>5、同等学力考生还需提供6门及以上主干课程成绩单。</w:t>
      </w:r>
    </w:p>
    <w:p>
      <w:pPr>
        <w:rPr>
          <w:rFonts w:hint="eastAsia"/>
        </w:rPr>
      </w:pPr>
      <w:r>
        <w:rPr>
          <w:rFonts w:hint="eastAsia"/>
          <w:lang w:val="en-US" w:eastAsia="zh-CN"/>
        </w:rPr>
        <w:t>6、招生复试诚信承诺书。</w:t>
      </w:r>
    </w:p>
    <w:p>
      <w:pPr>
        <w:rPr>
          <w:rFonts w:hint="eastAsia"/>
        </w:rPr>
      </w:pPr>
      <w:r>
        <w:rPr>
          <w:rFonts w:hint="eastAsia"/>
          <w:lang w:val="en-US" w:eastAsia="zh-CN"/>
        </w:rPr>
        <w:t>7、体检：复试期间，我校校医院开放考生体检，合格者给予发放录取通知书。</w:t>
      </w:r>
    </w:p>
    <w:p>
      <w:pPr>
        <w:rPr>
          <w:rFonts w:hint="eastAsia"/>
        </w:rPr>
      </w:pPr>
      <w:r>
        <w:rPr>
          <w:rFonts w:hint="eastAsia"/>
          <w:lang w:val="en-US" w:eastAsia="zh-CN"/>
        </w:rPr>
        <w:t> 注：资格审核不通过的考生不予复试，未按要求签订《复试诚信承诺书》或者提供虚假信息者不予复试。</w:t>
      </w:r>
    </w:p>
    <w:p>
      <w:pPr>
        <w:rPr>
          <w:rFonts w:hint="eastAsia"/>
        </w:rPr>
      </w:pPr>
      <w:r>
        <w:rPr>
          <w:rFonts w:hint="eastAsia"/>
          <w:lang w:val="en-US" w:eastAsia="zh-CN"/>
        </w:rPr>
        <w:t>五、复试流程</w:t>
      </w:r>
    </w:p>
    <w:p>
      <w:pPr>
        <w:rPr>
          <w:rFonts w:hint="eastAsia"/>
        </w:rPr>
      </w:pPr>
      <w:r>
        <w:rPr>
          <w:rFonts w:hint="eastAsia"/>
        </w:rPr>
        <w:t>复试开始，考生先进行英语听说能力测试，再进行专业知识笔试（随机抽取一套题进行作答），最后进入专家提问、综合考查环节，时间总长不超过20分钟。</w:t>
      </w:r>
    </w:p>
    <w:p>
      <w:pPr>
        <w:rPr>
          <w:rFonts w:hint="eastAsia"/>
        </w:rPr>
      </w:pPr>
      <w:r>
        <w:rPr>
          <w:rFonts w:hint="eastAsia"/>
          <w:lang w:val="en-US" w:eastAsia="zh-CN"/>
        </w:rPr>
        <w:t>六、面试评分标准（百分制）：</w:t>
      </w:r>
    </w:p>
    <w:p>
      <w:pPr>
        <w:rPr>
          <w:rFonts w:hint="eastAsia"/>
        </w:rPr>
      </w:pPr>
      <w:r>
        <w:rPr>
          <w:rFonts w:hint="eastAsia"/>
          <w:lang w:val="en-US" w:eastAsia="zh-CN"/>
        </w:rPr>
        <w:t>(1) 英语翻译及交流环节：英语听说能力（20分）</w:t>
      </w:r>
    </w:p>
    <w:p>
      <w:pPr>
        <w:rPr>
          <w:rFonts w:hint="eastAsia"/>
        </w:rPr>
      </w:pPr>
      <w:r>
        <w:rPr>
          <w:rFonts w:hint="eastAsia"/>
          <w:lang w:val="en-US" w:eastAsia="zh-CN"/>
        </w:rPr>
        <w:t>(2) 专业知识考查环节：回答问题的准确性和专业素质（30分）</w:t>
      </w:r>
    </w:p>
    <w:p>
      <w:pPr>
        <w:rPr>
          <w:rFonts w:hint="eastAsia"/>
        </w:rPr>
      </w:pPr>
      <w:r>
        <w:rPr>
          <w:rFonts w:hint="eastAsia"/>
          <w:lang w:val="en-US" w:eastAsia="zh-CN"/>
        </w:rPr>
        <w:t>(3) 专家提问环节：应变能力（思维活跃度、回答问题准确度、知识面等）（30分）</w:t>
      </w:r>
    </w:p>
    <w:p>
      <w:pPr>
        <w:rPr>
          <w:rFonts w:hint="eastAsia"/>
        </w:rPr>
      </w:pPr>
      <w:r>
        <w:rPr>
          <w:rFonts w:hint="eastAsia"/>
          <w:lang w:val="en-US" w:eastAsia="zh-CN"/>
        </w:rPr>
        <w:t>(4) 综合考查环节：综合素养（清晰性、严谨性、逻辑性等）（20分）</w:t>
      </w:r>
    </w:p>
    <w:p>
      <w:pPr>
        <w:rPr>
          <w:rFonts w:hint="eastAsia"/>
        </w:rPr>
      </w:pPr>
      <w:r>
        <w:rPr>
          <w:rFonts w:hint="eastAsia"/>
          <w:lang w:val="en-US" w:eastAsia="zh-CN"/>
        </w:rPr>
        <w:t>(5）思政考核：思想政治素质和道德品质（合格与否）</w:t>
      </w:r>
    </w:p>
    <w:p>
      <w:pPr>
        <w:rPr>
          <w:rFonts w:hint="eastAsia"/>
        </w:rPr>
      </w:pPr>
      <w:r>
        <w:rPr>
          <w:rFonts w:hint="eastAsia"/>
          <w:lang w:val="en-US" w:eastAsia="zh-CN"/>
        </w:rPr>
        <w:t>七、录取工作</w:t>
      </w:r>
    </w:p>
    <w:p>
      <w:pPr>
        <w:rPr>
          <w:rFonts w:hint="eastAsia"/>
        </w:rPr>
      </w:pPr>
      <w:r>
        <w:rPr>
          <w:rFonts w:hint="eastAsia"/>
        </w:rPr>
        <w:t>（一） 综合成绩计算方法</w:t>
      </w:r>
    </w:p>
    <w:p>
      <w:pPr>
        <w:rPr>
          <w:rFonts w:hint="eastAsia"/>
        </w:rPr>
      </w:pPr>
      <w:r>
        <w:rPr>
          <w:rFonts w:hint="eastAsia"/>
          <w:lang w:val="en-US" w:eastAsia="zh-CN"/>
        </w:rPr>
        <w:t>考生综合成绩计算公式：</w:t>
      </w:r>
    </w:p>
    <w:p>
      <w:pPr>
        <w:rPr>
          <w:rFonts w:hint="eastAsia"/>
        </w:rPr>
      </w:pPr>
      <w:r>
        <w:rPr>
          <w:rFonts w:hint="eastAsia"/>
          <w:lang w:val="en-US" w:eastAsia="zh-CN"/>
        </w:rPr>
        <w:t>综合成绩（百分制）=（初试总分/5）× 60% + 复试成绩（百分制）× 40%。</w:t>
      </w:r>
    </w:p>
    <w:p>
      <w:pPr>
        <w:rPr>
          <w:rFonts w:hint="eastAsia"/>
        </w:rPr>
      </w:pPr>
      <w:r>
        <w:rPr>
          <w:rFonts w:hint="eastAsia"/>
          <w:lang w:val="en-US" w:eastAsia="zh-CN"/>
        </w:rPr>
        <w:t>注：如有加分，严格按照教育部相关政策执行。</w:t>
      </w:r>
    </w:p>
    <w:p>
      <w:pPr>
        <w:rPr>
          <w:rFonts w:hint="eastAsia"/>
        </w:rPr>
      </w:pPr>
      <w:r>
        <w:rPr>
          <w:rFonts w:hint="eastAsia"/>
        </w:rPr>
        <w:t>（二） 录取规则</w:t>
      </w:r>
    </w:p>
    <w:p>
      <w:pPr>
        <w:rPr>
          <w:rFonts w:hint="eastAsia"/>
        </w:rPr>
      </w:pPr>
      <w:r>
        <w:rPr>
          <w:rFonts w:hint="eastAsia"/>
        </w:rPr>
        <w:t>1、根据各专业招生计划数，按照综合成绩从高分到低分依次录取。如遇综合成绩相同时，按初试成绩由高到低依次录取，如初试成绩也相同，则按专业课成绩由高到低依次录取。</w:t>
      </w:r>
    </w:p>
    <w:p>
      <w:pPr>
        <w:rPr>
          <w:rFonts w:hint="eastAsia"/>
        </w:rPr>
      </w:pPr>
      <w:r>
        <w:rPr>
          <w:rFonts w:hint="eastAsia"/>
        </w:rPr>
        <w:t>2、复试成绩不合格者（百分制低于60分）不予录取。</w:t>
      </w:r>
    </w:p>
    <w:p>
      <w:pPr>
        <w:rPr>
          <w:rFonts w:hint="eastAsia"/>
        </w:rPr>
      </w:pPr>
      <w:r>
        <w:rPr>
          <w:rFonts w:hint="eastAsia"/>
        </w:rPr>
        <w:t>3、复试资格审查不合格者，不予复试、录取，对弄虚作假者，不论何时，一经查实，一律取消录取资格或已入学者取消学籍。</w:t>
      </w:r>
    </w:p>
    <w:p>
      <w:pPr>
        <w:rPr>
          <w:rFonts w:hint="eastAsia"/>
        </w:rPr>
      </w:pPr>
      <w:r>
        <w:rPr>
          <w:rFonts w:hint="eastAsia"/>
        </w:rPr>
        <w:t>4、同等学力考生加试成绩可不计入复试成绩，但不合格者不予录取。</w:t>
      </w:r>
    </w:p>
    <w:p>
      <w:pPr>
        <w:rPr>
          <w:rFonts w:hint="eastAsia"/>
        </w:rPr>
      </w:pPr>
      <w:r>
        <w:rPr>
          <w:rFonts w:hint="eastAsia"/>
        </w:rPr>
        <w:t>5、思想政治素质和道德品质及身心健康考核不作量化计入综合成绩，但考核结果不合格者不予录取。</w:t>
      </w:r>
    </w:p>
    <w:p>
      <w:pPr>
        <w:rPr>
          <w:rFonts w:hint="eastAsia"/>
        </w:rPr>
      </w:pPr>
      <w:r>
        <w:rPr>
          <w:rFonts w:hint="eastAsia"/>
          <w:lang w:val="en-US" w:eastAsia="zh-CN"/>
        </w:rPr>
        <w:t>八、违规处理</w:t>
      </w:r>
    </w:p>
    <w:p>
      <w:pPr>
        <w:rPr>
          <w:rFonts w:hint="eastAsia"/>
        </w:rPr>
      </w:pPr>
      <w:r>
        <w:rPr>
          <w:rFonts w:hint="eastAsia"/>
          <w:lang w:val="en-US" w:eastAsia="zh-CN"/>
        </w:rPr>
        <w:t>1、对在招生复试工作中有违反国家有关法律法规和招生管理规定行为的导师、教师及工作人员，严格按照有关法律法规和管理文件严肃处理。</w:t>
      </w:r>
    </w:p>
    <w:p>
      <w:pPr>
        <w:rPr>
          <w:rFonts w:hint="eastAsia"/>
        </w:rPr>
      </w:pPr>
      <w:r>
        <w:rPr>
          <w:rFonts w:hint="eastAsia"/>
          <w:lang w:val="en-US" w:eastAsia="zh-CN"/>
        </w:rPr>
        <w:t>2、对在复试过程中有违规行为的考生，一经查实，即按照《国家教育考试违规处理办法》、《普通高等学校招生违规行为处理暂行办法》等规定严肃处理，取消录取资格，记入《考生考试诚信档案》。入学后3个月内，学院将按照《普通高等学校学生管理规定》有关要求，对所有考生进行全面复查复测。复查不合格的，取消学籍；情节严重的，移交有关部门调查处理。</w:t>
      </w:r>
    </w:p>
    <w:p>
      <w:pPr>
        <w:rPr>
          <w:rFonts w:hint="eastAsia"/>
        </w:rPr>
      </w:pPr>
      <w:r>
        <w:rPr>
          <w:rFonts w:hint="eastAsia"/>
          <w:lang w:val="en-US" w:eastAsia="zh-CN"/>
        </w:rPr>
        <w:t>九、调剂生挑选原则</w:t>
      </w:r>
    </w:p>
    <w:p>
      <w:pPr>
        <w:rPr>
          <w:rFonts w:hint="eastAsia"/>
        </w:rPr>
      </w:pPr>
      <w:r>
        <w:rPr>
          <w:rFonts w:hint="eastAsia"/>
          <w:lang w:val="en-US" w:eastAsia="zh-CN"/>
        </w:rPr>
        <w:t>1、初试成绩（单科和总分）符合第一志愿报考专业在A类考生地区的全国初试成绩基本要求。</w:t>
      </w:r>
    </w:p>
    <w:p>
      <w:pPr>
        <w:rPr>
          <w:rFonts w:hint="eastAsia"/>
        </w:rPr>
      </w:pPr>
      <w:r>
        <w:rPr>
          <w:rFonts w:hint="eastAsia"/>
          <w:lang w:val="en-US" w:eastAsia="zh-CN"/>
        </w:rPr>
        <w:t>2、调入专业与第一志愿报考专业相同相近，应在同一学科门类范围内。</w:t>
      </w:r>
    </w:p>
    <w:p>
      <w:pPr>
        <w:rPr>
          <w:rFonts w:hint="eastAsia"/>
        </w:rPr>
      </w:pPr>
      <w:r>
        <w:rPr>
          <w:rFonts w:hint="eastAsia"/>
          <w:lang w:val="en-US" w:eastAsia="zh-CN"/>
        </w:rPr>
        <w:t>3、初试科目与调入专业初试科目相同相近，其中初试全国统一命题科目应与调入专业全国统一命题科目相同。</w:t>
      </w:r>
    </w:p>
    <w:p>
      <w:pPr>
        <w:rPr>
          <w:rFonts w:hint="eastAsia"/>
        </w:rPr>
      </w:pPr>
      <w:r>
        <w:rPr>
          <w:rFonts w:hint="eastAsia"/>
          <w:lang w:val="en-US" w:eastAsia="zh-CN"/>
        </w:rPr>
        <w:t>十、其它</w:t>
      </w:r>
    </w:p>
    <w:p>
      <w:pPr>
        <w:rPr>
          <w:rFonts w:hint="eastAsia"/>
        </w:rPr>
      </w:pPr>
      <w:r>
        <w:rPr>
          <w:rFonts w:hint="eastAsia"/>
          <w:lang w:val="en-US" w:eastAsia="zh-CN"/>
        </w:rPr>
        <w:t>如果学校对硕士研究生招生工作有调整，按照学校最新要求执行。</w:t>
      </w:r>
    </w:p>
    <w:p>
      <w:pPr>
        <w:rPr>
          <w:rFonts w:hint="eastAsia"/>
        </w:rPr>
      </w:pPr>
      <w:r>
        <w:rPr>
          <w:rFonts w:hint="eastAsia"/>
          <w:lang w:val="en-US" w:eastAsia="zh-CN"/>
        </w:rPr>
        <w:t>今年招生计划待定，请关注后续通知。</w:t>
      </w:r>
    </w:p>
    <w:p>
      <w:pPr>
        <w:rPr>
          <w:rFonts w:hint="eastAsia"/>
        </w:rPr>
      </w:pPr>
      <w:r>
        <w:rPr>
          <w:rFonts w:hint="eastAsia"/>
          <w:lang w:val="en-US" w:eastAsia="zh-CN"/>
        </w:rPr>
        <w:t>本实施细则由学院研究生招生领导小组负责解释。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A600262"/>
    <w:rsid w:val="1A600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2024-03-26T08:30:00Z</dcterms:created>
  <dc:creator>海灵古（SHL）</dc:creator>
  <cp:lastModifiedBy>海灵古（SHL）</cp:lastModifiedBy>
  <dcterms:modified xsi:type="dcterms:W3CDTF">2024-03-26T08:31:35Z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5AAFF62372BC49D386D1FD91139F73ED_11</vt:lpwstr>
  </property>
</Properties>
</file>