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年材料与新能源学院硕士研究生复试名单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   </w:t>
      </w: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20360" cy="714375"/>
            <wp:effectExtent l="0" t="0" r="889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8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77585" cy="740410"/>
            <wp:effectExtent l="0" t="0" r="18415" b="254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7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87110" cy="1241425"/>
            <wp:effectExtent l="0" t="0" r="8890" b="1587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08D1F07"/>
    <w:rsid w:val="217008EA"/>
    <w:rsid w:val="22D24CAE"/>
    <w:rsid w:val="25E642BC"/>
    <w:rsid w:val="37C75C12"/>
    <w:rsid w:val="3A1763DB"/>
    <w:rsid w:val="3F302C3B"/>
    <w:rsid w:val="467E7FB4"/>
    <w:rsid w:val="4F32757E"/>
    <w:rsid w:val="50074FD7"/>
    <w:rsid w:val="527A02DF"/>
    <w:rsid w:val="552733C1"/>
    <w:rsid w:val="585070F0"/>
    <w:rsid w:val="5CC85FC5"/>
    <w:rsid w:val="64CC31ED"/>
    <w:rsid w:val="67AE67A9"/>
    <w:rsid w:val="77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F33A4BB3AC3B43998F9D889F80B3146F_13</vt:lpwstr>
  </property>
</Properties>
</file>